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core.xml" Type="http://schemas.openxmlformats.org/package/2006/relationships/metadata/core-properties" Id="rId3"></Relationship><Relationship Target="docProps/thumbnail.emf" Type="http://schemas.openxmlformats.org/package/2006/relationships/metadata/thumbnail" Id="rId2"></Relationship><Relationship Target="word/document.xml" Type="http://schemas.openxmlformats.org/officeDocument/2006/relationships/officeDocument" Id="rId1"></Relationship><Relationship Target="docProps/app.xml" Type="http://schemas.openxmlformats.org/officeDocument/2006/relationships/extended-properties" Id="rId4"></Relationship></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c2c66e" w14:textId="d9c2c66e">
      <w:pPr>
        <w:pStyle w:val="Heading1"/>
        <w:keepNext w:val="false"/>
        <w15:collapsed w:val="false"/>
        <w:rPr>
          <w:rFonts w:ascii="Calibri" w:hAnsi="Calibri"/>
          <w:b w:val="false"/>
          <w:color w:val="auto"/>
          <w:sz w:val="22"/>
          <w:szCs w:val="22"/>
        </w:rPr>
      </w:pPr>
      <w:r>
        <w:rPr>
          <w:b/>
        </w:rPr>
        <w:drawing>
          <wp:inline distT="0" distB="0" distL="0" distR="0">
            <wp:extent cx="5943600" cy="769048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943600" cy="7690486"/>
                    </a:xfrm>
                    <a:prstGeom prst="rect">
                      <a:avLst/>
                    </a:prstGeom>
                  </pic:spPr>
                </pic:pic>
              </a:graphicData>
            </a:graphic>
          </wp:inline>
        </w:drawing>
        <w:br/>
        <w:t/>
      </w:r>
    </w:p>
    <w:p w14:paraId="665267E6" w14:textId="77777777"/>
    <w:p w14:paraId="090749BC" w14:textId="2DE8B6CD">
      <w:pPr>
        <w:pStyle w:val="Heading1"/>
        <w:jc w:val="center"/>
        <w:rPr>
          <w:rFonts w:ascii="Calibri" w:hAnsi="Calibri"/>
          <w:color w:val="auto"/>
          <w:sz w:val="32"/>
          <w:szCs w:val="32"/>
        </w:rPr>
      </w:pPr>
      <w:r>
        <w:rPr>
          <w:rFonts w:ascii="Calibri" w:hAnsi="Calibri"/>
          <w:color w:val="auto"/>
          <w:sz w:val="32"/>
          <w:szCs w:val="32"/>
        </w:rPr>
        <w:t>Executive Summary</w:t>
      </w:r>
    </w:p>
    <w:p w14:paraId="77A46C0A" w14:textId="77777777">
      <w:pPr>
        <w:pStyle w:val="Heading2"/>
        <w:rPr>
          <w:rFonts w:ascii="Calibri" w:hAnsi="Calibri"/>
          <w:i w:val="false"/>
        </w:rPr>
      </w:pPr>
      <w:r>
        <w:rPr>
          <w:rFonts w:ascii="Calibri" w:hAnsi="Calibri"/>
          <w:i w:val="false"/>
        </w:rPr>
        <w:t>AP-05 Executive Summary - 24 CFR 91.200(c), 91.220(b)</w:t>
      </w:r>
    </w:p>
    <w:p w14:paraId="79D1BC0C" w14:textId="77777777">
      <w:pPr>
        <w:rPr>
          <w:b/>
          <w:sz w:val="24"/>
          <w:szCs w:val="24"/>
        </w:rPr>
      </w:pPr>
      <w:r>
        <w:rPr>
          <w:b/>
          <w:sz w:val="24"/>
          <w:szCs w:val="24"/>
        </w:rPr>
        <w:t>1.</w:t>
        <w:tab/>
        <w:t>Introduction</w:t>
      </w:r>
    </w:p>
    <w:p>
      <w:pPr>
        <w:spacing w:beforeAutospacing="true" w:afterAutospacing="true"/>
        <w:rPr>
          <w:rFonts w:cs="Arial"/>
        </w:rPr>
      </w:pPr>
      <w:r>
        <w:rPr>
          <w:rFonts w:cs="Arial"/>
        </w:rPr>
        <w:t xml:space="preserve">Dover, the capital of Delaware, is centrally located within the state and lies in the Mid-Atlantic region of the United States. The city is approximately 90 miles from both Philadelphia and Washington, D.C., providing convenient access to two major metropolitan areas. With a population second only to Wilmington, Dover is one of the largest municipalities in Delaware. Dover also serves as the county seat of Kent County and is home to several key state government institutions, including the Delaware Supreme Court and Legislative Hall.</w:t>
      </w:r>
    </w:p>
    <w:p>
      <w:pPr>
        <w:spacing w:beforeAutospacing="true" w:afterAutospacing="true"/>
        <w:rPr>
          <w:rFonts w:cs="Arial"/>
        </w:rPr>
      </w:pPr>
      <w:r>
        <w:rPr>
          <w:rFonts w:cs="Arial"/>
        </w:rPr>
        <w:t xml:space="preserve">Delaware, together with the Eastern Shore counties of Maryland and Virginia, forms the Delmarva Peninsula. Within this region, Dover is the largest city by land area, encompassing more than 23 square miles.</w:t>
      </w:r>
    </w:p>
    <w:p>
      <w:pPr>
        <w:spacing w:beforeAutospacing="true" w:afterAutospacing="true"/>
        <w:rPr>
          <w:rFonts w:cs="Arial"/>
        </w:rPr>
      </w:pPr>
      <w:r>
        <w:rPr>
          <w:rFonts w:cs="Arial"/>
        </w:rPr>
        <w:t xml:space="preserve">As a recipient of Community Development Block Grant (CDBG) funding from the U.S. Department of Housing and Urban Development (HUD), the City is required to prepare a five-year Consolidated Plan and an Annual Action Plan (AAP) in accordance with 24 CFR Part 91.</w:t>
      </w:r>
    </w:p>
    <w:p>
      <w:pPr>
        <w:spacing w:beforeAutospacing="true" w:afterAutospacing="true"/>
        <w:rPr>
          <w:rFonts w:cs="Arial"/>
        </w:rPr>
      </w:pPr>
      <w:r>
        <w:rPr>
          <w:rFonts w:cs="Arial"/>
        </w:rPr>
        <w:t xml:space="preserve">This 2026 Annual Action Plan outlines how the City will utilize $303,961 in CDBG funding during the City’s Fiscal Year 2027 (July 1, 2026 – June 30, 2027), funded through HUD’s Program Year 2026 allocation, to address priority housing and community development needs identified in the 2025–2029 Consolidated Plan.</w:t>
      </w:r>
    </w:p>
    <w:p>
      <w:pPr>
        <w:spacing w:beforeAutospacing="true" w:afterAutospacing="true"/>
        <w:rPr>
          <w:rFonts w:cs="Arial"/>
        </w:rPr>
      </w:pPr>
      <w:r>
        <w:rPr>
          <w:rFonts w:cs="Arial"/>
        </w:rPr>
        <w:t xml:space="preserve">The Consolidated Plan is guided by four primary goals, listed in order of priority:</w:t>
      </w:r>
    </w:p>
    <w:p>
      <w:pPr>
        <w:numPr>
          <w:ilvl w:val="0"/>
          <w:numId w:val="19"/>
        </w:numPr>
        <w:spacing w:beforeAutospacing="true" w:afterAutospacing="true"/>
      </w:pPr>
      <w:r>
        <w:rPr>
          <w:rFonts w:cs="Arial"/>
        </w:rPr>
        <w:t xml:space="preserve">Provide aid for persons with special needs.</w:t>
      </w:r>
    </w:p>
    <w:p>
      <w:pPr>
        <w:numPr>
          <w:ilvl w:val="0"/>
          <w:numId w:val="19"/>
        </w:numPr>
        <w:spacing w:beforeAutospacing="true" w:afterAutospacing="true"/>
      </w:pPr>
      <w:r>
        <w:rPr>
          <w:rFonts w:cs="Arial"/>
        </w:rPr>
        <w:t xml:space="preserve">Preserve the existing housing stock.</w:t>
      </w:r>
    </w:p>
    <w:p>
      <w:pPr>
        <w:numPr>
          <w:ilvl w:val="0"/>
          <w:numId w:val="19"/>
        </w:numPr>
        <w:spacing w:beforeAutospacing="true" w:afterAutospacing="true"/>
      </w:pPr>
      <w:r>
        <w:rPr>
          <w:rFonts w:cs="Arial"/>
        </w:rPr>
        <w:t xml:space="preserve">Encourage owner-occupied housing in low- and moderate-income areas.</w:t>
      </w:r>
    </w:p>
    <w:p>
      <w:pPr>
        <w:numPr>
          <w:ilvl w:val="0"/>
          <w:numId w:val="19"/>
        </w:numPr>
        <w:spacing w:beforeAutospacing="true" w:afterAutospacing="true"/>
      </w:pPr>
      <w:r>
        <w:rPr>
          <w:rFonts w:cs="Arial"/>
        </w:rPr>
        <w:t xml:space="preserve">Promote safe and livable neighborhoods.</w:t>
      </w:r>
    </w:p>
    <w:p w14:paraId="5817C961" w14:textId="77777777">
      <w:pPr>
        <w:rPr>
          <w:b/>
          <w:sz w:val="24"/>
          <w:szCs w:val="24"/>
        </w:rPr>
      </w:pPr>
      <w:r>
        <w:rPr>
          <w:b/>
          <w:sz w:val="24"/>
          <w:szCs w:val="24"/>
        </w:rPr>
        <w:t>2.</w:t>
        <w:tab/>
        <w:t xml:space="preserve">Summarize the objectives and outcomes identified in the Plan  </w:t>
      </w:r>
    </w:p>
    <w:p w14:paraId="239579B0" w14:textId="77777777">
      <w:pPr>
        <w:rPr>
          <w:b/>
          <w:sz w:val="24"/>
          <w:szCs w:val="24"/>
        </w:rPr>
      </w:pPr>
      <w:r>
        <w:rPr>
          <w:sz w:val="24"/>
          <w:szCs w:val="24"/>
        </w:rPr>
        <w:t>This could be a restatement of items or a table listed elsewhere in the plan or a reference to another location.</w:t>
      </w:r>
      <w:r>
        <w:t xml:space="preserve"> </w:t>
      </w:r>
      <w:r>
        <w:rPr>
          <w:sz w:val="24"/>
          <w:szCs w:val="24"/>
        </w:rPr>
        <w:t>It may also contain any essential items from the housing and homeless needs assessment, the housing market analysis or the strategic plan.</w:t>
      </w:r>
    </w:p>
    <w:p>
      <w:pPr>
        <w:spacing w:beforeAutospacing="true" w:afterAutospacing="true"/>
        <w:rPr>
          <w:rFonts w:cs="Arial"/>
        </w:rPr>
      </w:pPr>
      <w:r>
        <w:rPr>
          <w:rFonts w:cs="Arial"/>
        </w:rPr>
        <w:t xml:space="preserve">The City of Dover’s 2026 Annual Action Plan implements the priority goals established in the FY 2025–2029 Consolidated Plan, with a focus on housing preservation, expansion of homeownership opportunities, and support for vulnerable populations.</w:t>
      </w:r>
    </w:p>
    <w:p>
      <w:pPr>
        <w:spacing w:beforeAutospacing="true" w:afterAutospacing="true"/>
        <w:rPr>
          <w:rFonts w:cs="Arial"/>
        </w:rPr>
      </w:pPr>
      <w:r>
        <w:rPr>
          <w:rFonts w:cs="Arial"/>
        </w:rPr>
        <w:t xml:space="preserve">Rather than restating these goals, this plan identifies the specific actions and measurable outcomes that will advance them during the program year.</w:t>
      </w:r>
    </w:p>
    <w:p>
      <w:pPr>
        <w:spacing w:beforeAutospacing="true" w:afterAutospacing="true"/>
        <w:rPr>
          <w:rFonts w:cs="Arial"/>
        </w:rPr>
      </w:pPr>
      <w:r>
        <w:rPr>
          <w:rFonts w:cs="Arial"/>
        </w:rPr>
        <w:t xml:space="preserve">Planned activities include housing rehabilitation, emergency home repairs, homeownership assistance, and public service programs for individuals experiencing homelessness or housing instability. These investments are designed to improve housing conditions, increase access to affordable homeownership, and enhance housing stability for low- and moderate-income residents.</w:t>
      </w:r>
    </w:p>
    <w:p>
      <w:pPr>
        <w:spacing w:beforeAutospacing="true" w:afterAutospacing="true"/>
        <w:rPr>
          <w:rFonts w:cs="Arial"/>
        </w:rPr>
      </w:pPr>
      <w:r>
        <w:rPr>
          <w:rFonts w:cs="Arial"/>
        </w:rPr>
        <w:t xml:space="preserve">Consistent with HUD’s performance measurement framework, these activities are expected to produce measurable outcomes aligned with the objectives of Decent Housing and Suitable Living Environments. Anticipated results include the preservation of existing housing units, assistance to first-time homebuyers, and expanded access to essential services for vulnerable populations.</w:t>
      </w:r>
    </w:p>
    <w:p w14:paraId="00F183A5" w14:textId="77777777">
      <w:pPr>
        <w:rPr>
          <w:b/>
          <w:sz w:val="24"/>
          <w:szCs w:val="24"/>
        </w:rPr>
      </w:pPr>
      <w:r>
        <w:rPr>
          <w:b/>
          <w:sz w:val="24"/>
          <w:szCs w:val="24"/>
        </w:rPr>
        <w:t>3.</w:t>
        <w:tab/>
        <w:t xml:space="preserve">Evaluation of past performance </w:t>
      </w:r>
    </w:p>
    <w:p w14:paraId="4C5406BD" w14:textId="77777777">
      <w:pPr>
        <w:rPr>
          <w:b/>
          <w:sz w:val="24"/>
          <w:szCs w:val="24"/>
        </w:rPr>
      </w:pPr>
      <w:r>
        <w:rPr>
          <w:sz w:val="24"/>
          <w:szCs w:val="24"/>
        </w:rPr>
        <w:t>This is an evaluation of past performance that helped lead the grantee to choose its goals or projects.</w:t>
      </w:r>
    </w:p>
    <w:p>
      <w:pPr>
        <w:spacing w:beforeAutospacing="true" w:afterAutospacing="true"/>
        <w:rPr>
          <w:rFonts w:cs="Arial"/>
        </w:rPr>
      </w:pPr>
      <w:r>
        <w:rPr>
          <w:rFonts w:cs="Arial"/>
        </w:rPr>
        <w:t xml:space="preserve">The City of Dover made measurable progress in advancing the goals outlined in the FY 2025–2029 Consolidated Plan during the most recent program year. CDBG-funded activities supported housing stability, expanded access to homeownership, and provided essential services to low- and moderate-income residents, while maintaining compliance with HUD timeliness and expenditure requirements.</w:t>
      </w:r>
    </w:p>
    <w:p>
      <w:pPr>
        <w:spacing w:beforeAutospacing="true" w:afterAutospacing="true"/>
        <w:rPr>
          <w:rFonts w:cs="Arial"/>
        </w:rPr>
      </w:pPr>
      <w:r>
        <w:rPr>
          <w:rFonts w:cs="Arial"/>
        </w:rPr>
        <w:t xml:space="preserve">The City prioritized housing preservation and affordability through its housing rehabilitation programs, completing critical repairs to 15 owner-occupied homes. These improvements addressed health and safety concerns, allowing residents to remain safely housed while preserving the City’s existing housing stock.</w:t>
      </w:r>
    </w:p>
    <w:p>
      <w:pPr>
        <w:spacing w:beforeAutospacing="true" w:afterAutospacing="true"/>
        <w:rPr>
          <w:rFonts w:cs="Arial"/>
        </w:rPr>
      </w:pPr>
      <w:r>
        <w:rPr>
          <w:rFonts w:cs="Arial"/>
        </w:rPr>
        <w:t xml:space="preserve">Efforts to expand homeownership opportunities also yielded positive results, with nine first-time homebuyers receiving financial assistance. These activities promote long-term neighborhood stability and create wealth-building opportunities for low- and moderate-income households.</w:t>
      </w:r>
    </w:p>
    <w:p>
      <w:pPr>
        <w:spacing w:beforeAutospacing="true" w:afterAutospacing="true"/>
        <w:rPr>
          <w:rFonts w:cs="Arial"/>
        </w:rPr>
      </w:pPr>
      <w:r>
        <w:rPr>
          <w:rFonts w:cs="Arial"/>
        </w:rPr>
        <w:t xml:space="preserve">In addition, the City supported programs serving vulnerable populations through partnerships with local service providers. More than 250 individuals received emergency shelter, case management, and supportive services, contributing to efforts to reduce homelessness and improve housing stability.</w:t>
      </w:r>
    </w:p>
    <w:p>
      <w:pPr>
        <w:spacing w:beforeAutospacing="true" w:afterAutospacing="true"/>
        <w:rPr>
          <w:rFonts w:cs="Arial"/>
        </w:rPr>
      </w:pPr>
      <w:r>
        <w:rPr>
          <w:rFonts w:cs="Arial"/>
        </w:rPr>
        <w:t xml:space="preserve">Overall, the City’s past performance demonstrates effective use of limited resources to address priority needs. While housing affordability and service demands remain ongoing challenges, the City continues to make meaningful progress toward its community development goals.</w:t>
      </w:r>
    </w:p>
    <w:p w14:paraId="076B6C31" w14:textId="77777777">
      <w:pPr>
        <w:rPr>
          <w:b/>
          <w:sz w:val="24"/>
          <w:szCs w:val="24"/>
        </w:rPr>
      </w:pPr>
      <w:r>
        <w:rPr>
          <w:b/>
          <w:sz w:val="24"/>
          <w:szCs w:val="24"/>
        </w:rPr>
        <w:t>4.</w:t>
        <w:tab/>
        <w:t xml:space="preserve">Summary of Citizen Participation Process and consultation process </w:t>
      </w:r>
    </w:p>
    <w:p w14:paraId="3F2254C4" w14:textId="77777777">
      <w:pPr>
        <w:rPr>
          <w:b/>
          <w:sz w:val="24"/>
          <w:szCs w:val="24"/>
        </w:rPr>
      </w:pPr>
      <w:r>
        <w:rPr>
          <w:sz w:val="24"/>
          <w:szCs w:val="24"/>
        </w:rPr>
        <w:t>Summary from citizen participation section of plan.</w:t>
      </w:r>
    </w:p>
    <w:p>
      <w:pPr>
        <w:spacing w:beforeAutospacing="true" w:afterAutospacing="true"/>
        <w:rPr>
          <w:rFonts w:cs="Arial"/>
        </w:rPr>
      </w:pPr>
      <w:r>
        <w:rPr>
          <w:rFonts w:cs="Arial"/>
        </w:rPr>
        <w:t xml:space="preserve">The City of Dover followed its adopted Citizen Participation Plan to ensure meaningful participation by residents, particularly low- and moderate-income persons, in the development of the 2026 Annual Action Plan.</w:t>
      </w:r>
    </w:p>
    <w:p>
      <w:pPr>
        <w:spacing w:beforeAutospacing="true" w:afterAutospacing="true"/>
        <w:rPr>
          <w:rFonts w:cs="Arial"/>
        </w:rPr>
      </w:pPr>
      <w:r>
        <w:rPr>
          <w:rFonts w:cs="Arial"/>
        </w:rPr>
        <w:t xml:space="preserve">Two public hearings were held on April 15, 2026, and April 24, 2026. The draft plan was available for a 30-day public comment period. Public notices were published in local media, posted on the City’s website, and shared through community partners and social media.</w:t>
      </w:r>
    </w:p>
    <w:p>
      <w:pPr>
        <w:spacing w:beforeAutospacing="true" w:afterAutospacing="true"/>
        <w:rPr>
          <w:rFonts w:cs="Arial"/>
        </w:rPr>
      </w:pPr>
      <w:r>
        <w:rPr>
          <w:rFonts w:cs="Arial"/>
        </w:rPr>
        <w:t xml:space="preserve">The City also consulted with housing providers, social service agencies, and regional partners to inform funding priorities and align resources with identified needs.</w:t>
      </w:r>
    </w:p>
    <w:p w14:paraId="3EB57C7C" w14:textId="77777777">
      <w:pPr>
        <w:rPr>
          <w:b/>
          <w:sz w:val="24"/>
          <w:szCs w:val="24"/>
        </w:rPr>
      </w:pPr>
      <w:r>
        <w:rPr>
          <w:b/>
          <w:sz w:val="24"/>
          <w:szCs w:val="24"/>
        </w:rPr>
        <w:t>5.</w:t>
        <w:tab/>
        <w:t>Summary of public comments</w:t>
      </w:r>
    </w:p>
    <w:p w14:paraId="53757F15" w14:textId="77777777">
      <w:pPr>
        <w:rPr>
          <w:sz w:val="24"/>
          <w:szCs w:val="24"/>
        </w:rPr>
      </w:pPr>
      <w:r>
        <w:rPr>
          <w:sz w:val="24"/>
          <w:szCs w:val="24"/>
        </w:rPr>
        <w:t>This could be a brief narrative summary or reference an attached document from the Citizen Participation section of the Con Plan.</w:t>
      </w:r>
    </w:p>
    <w:p>
      <w:pPr>
        <w:spacing w:beforeAutospacing="true" w:afterAutospacing="true"/>
        <w:rPr>
          <w:rFonts w:cs="Arial"/>
        </w:rPr>
      </w:pPr>
      <w:r>
        <w:rPr>
          <w:rFonts w:cs="Arial"/>
        </w:rPr>
        <w:t xml:space="preserve">The City received comments related to program eligibility, administrative costs, outreach, and funding priorities.</w:t>
      </w:r>
    </w:p>
    <w:p>
      <w:pPr>
        <w:spacing w:beforeAutospacing="true" w:afterAutospacing="true"/>
        <w:rPr>
          <w:rFonts w:cs="Arial"/>
        </w:rPr>
      </w:pPr>
      <w:r>
        <w:rPr>
          <w:rFonts w:cs="Arial"/>
        </w:rPr>
        <w:t xml:space="preserve">Key comments included:</w:t>
      </w:r>
    </w:p>
    <w:p>
      <w:pPr>
        <w:numPr>
          <w:ilvl w:val="0"/>
          <w:numId w:val="3"/>
        </w:numPr>
        <w:spacing w:beforeAutospacing="true" w:afterAutospacing="true"/>
        <w:rPr>
          <w:rFonts w:cs="Arial"/>
        </w:rPr>
      </w:pPr>
      <w:r>
        <w:rPr>
          <w:rFonts w:cs="Arial"/>
        </w:rPr>
        <w:t xml:space="preserve">Clarification of the definition of single-family housing.</w:t>
      </w:r>
    </w:p>
    <w:p>
      <w:pPr>
        <w:numPr>
          <w:ilvl w:val="0"/>
          <w:numId w:val="3"/>
        </w:numPr>
        <w:spacing w:beforeAutospacing="true" w:afterAutospacing="true"/>
        <w:rPr>
          <w:rFonts w:cs="Arial"/>
        </w:rPr>
      </w:pPr>
      <w:r>
        <w:rPr>
          <w:rFonts w:cs="Arial"/>
        </w:rPr>
        <w:t xml:space="preserve">Recommendation to revise housing rehabilitation language to focus on code compliance rather than requiring an active violation.</w:t>
      </w:r>
    </w:p>
    <w:p>
      <w:pPr>
        <w:numPr>
          <w:ilvl w:val="0"/>
          <w:numId w:val="3"/>
        </w:numPr>
        <w:spacing w:beforeAutospacing="true" w:afterAutospacing="true"/>
        <w:rPr>
          <w:rFonts w:cs="Arial"/>
        </w:rPr>
      </w:pPr>
      <w:r>
        <w:rPr>
          <w:rFonts w:cs="Arial"/>
        </w:rPr>
        <w:t xml:space="preserve">Requests for additional detail on administrative costs.</w:t>
      </w:r>
    </w:p>
    <w:p>
      <w:pPr>
        <w:numPr>
          <w:ilvl w:val="0"/>
          <w:numId w:val="3"/>
        </w:numPr>
        <w:spacing w:beforeAutospacing="true" w:afterAutospacing="true"/>
        <w:rPr>
          <w:rFonts w:cs="Arial"/>
        </w:rPr>
      </w:pPr>
      <w:r>
        <w:rPr>
          <w:rFonts w:cs="Arial"/>
        </w:rPr>
        <w:t xml:space="preserve">Questions regarding how participants are identified for housing programs.</w:t>
      </w:r>
    </w:p>
    <w:p>
      <w:pPr>
        <w:numPr>
          <w:ilvl w:val="0"/>
          <w:numId w:val="3"/>
        </w:numPr>
        <w:spacing w:beforeAutospacing="true" w:afterAutospacing="true"/>
        <w:rPr>
          <w:rFonts w:cs="Arial"/>
        </w:rPr>
      </w:pPr>
      <w:r>
        <w:rPr>
          <w:rFonts w:cs="Arial"/>
        </w:rPr>
        <w:t xml:space="preserve">Suggestions to expand outreach, including website visibility and virtual participation options.</w:t>
      </w:r>
    </w:p>
    <w:p>
      <w:pPr>
        <w:numPr>
          <w:ilvl w:val="0"/>
          <w:numId w:val="3"/>
        </w:numPr>
        <w:spacing w:beforeAutospacing="true" w:afterAutospacing="true"/>
        <w:rPr>
          <w:rFonts w:cs="Arial"/>
        </w:rPr>
      </w:pPr>
      <w:r>
        <w:rPr>
          <w:rFonts w:cs="Arial"/>
        </w:rPr>
        <w:t xml:space="preserve">Questions regarding subrecipient selection.</w:t>
      </w:r>
    </w:p>
    <w:p>
      <w:pPr>
        <w:numPr>
          <w:ilvl w:val="0"/>
          <w:numId w:val="3"/>
        </w:numPr>
        <w:spacing w:beforeAutospacing="true" w:afterAutospacing="true"/>
        <w:rPr>
          <w:rFonts w:cs="Arial"/>
        </w:rPr>
      </w:pPr>
      <w:r>
        <w:rPr>
          <w:rFonts w:cs="Arial"/>
        </w:rPr>
        <w:t xml:space="preserve">Concerns regarding limited funding impact, lack of rental assistance, and equitable access to resources.</w:t>
      </w:r>
    </w:p>
    <w:p>
      <w:pPr>
        <w:spacing w:beforeAutospacing="true" w:afterAutospacing="true"/>
        <w:rPr>
          <w:rFonts w:cs="Arial"/>
        </w:rPr>
      </w:pPr>
      <w:r>
        <w:rPr>
          <w:rFonts w:cs="Arial"/>
        </w:rPr>
        <w:t xml:space="preserve">Additional written comments raised broader concerns regarding housing needs, funding allocation, outreach effectiveness, and equity.</w:t>
      </w:r>
    </w:p>
    <w:p w14:paraId="65448563" w14:textId="77777777">
      <w:pPr>
        <w:rPr>
          <w:b/>
          <w:sz w:val="24"/>
          <w:szCs w:val="24"/>
        </w:rPr>
      </w:pPr>
      <w:r>
        <w:rPr>
          <w:b/>
          <w:sz w:val="24"/>
          <w:szCs w:val="24"/>
        </w:rPr>
        <w:t>6.</w:t>
        <w:tab/>
        <w:t>Summary of comments or views not accepted and the reasons for not accepting them</w:t>
      </w:r>
    </w:p>
    <w:p>
      <w:pPr>
        <w:spacing w:beforeAutospacing="true" w:afterAutospacing="true"/>
        <w:rPr>
          <w:rFonts w:cs="Arial"/>
        </w:rPr>
      </w:pPr>
      <w:r>
        <w:rPr>
          <w:rFonts w:cs="Arial"/>
        </w:rPr>
        <w:t xml:space="preserve">All comments were reviewed and considered. The following were not incorporated:</w:t>
      </w:r>
    </w:p>
    <w:p>
      <w:pPr>
        <w:numPr>
          <w:ilvl w:val="0"/>
          <w:numId w:val="3"/>
        </w:numPr>
        <w:spacing w:beforeAutospacing="true" w:afterAutospacing="true"/>
        <w:rPr>
          <w:rFonts w:cs="Arial"/>
        </w:rPr>
      </w:pPr>
      <w:r>
        <w:rPr>
          <w:rFonts w:cs="Arial"/>
        </w:rPr>
        <w:t xml:space="preserve">Administrative Costs: No changes were made. Costs are capped at 20% by HUD and support required program administration activities.</w:t>
      </w:r>
    </w:p>
    <w:p>
      <w:pPr>
        <w:numPr>
          <w:ilvl w:val="0"/>
          <w:numId w:val="3"/>
        </w:numPr>
        <w:spacing w:beforeAutospacing="true" w:afterAutospacing="true"/>
        <w:rPr>
          <w:rFonts w:cs="Arial"/>
        </w:rPr>
      </w:pPr>
      <w:r>
        <w:rPr>
          <w:rFonts w:cs="Arial"/>
        </w:rPr>
        <w:t xml:space="preserve">Rental Assistance: No changes were made. No eligible applications were received, and activities must align with the Consolidated Plan and application process.</w:t>
      </w:r>
    </w:p>
    <w:p>
      <w:pPr>
        <w:numPr>
          <w:ilvl w:val="0"/>
          <w:numId w:val="3"/>
        </w:numPr>
        <w:spacing w:beforeAutospacing="true" w:afterAutospacing="true"/>
        <w:rPr>
          <w:rFonts w:cs="Arial"/>
        </w:rPr>
      </w:pPr>
      <w:r>
        <w:rPr>
          <w:rFonts w:cs="Arial"/>
        </w:rPr>
        <w:t xml:space="preserve">Funding Levels and Impact: No changes were made due to limited annual allocation and the need to prioritize within available resources.</w:t>
      </w:r>
    </w:p>
    <w:p>
      <w:pPr>
        <w:numPr>
          <w:ilvl w:val="0"/>
          <w:numId w:val="3"/>
        </w:numPr>
        <w:spacing w:beforeAutospacing="true" w:afterAutospacing="true"/>
        <w:rPr>
          <w:rFonts w:cs="Arial"/>
        </w:rPr>
      </w:pPr>
      <w:r>
        <w:rPr>
          <w:rFonts w:cs="Arial"/>
        </w:rPr>
        <w:t xml:space="preserve">Subrecipient Selection: No changes were made. Subrecipients must be included in the Consolidated Plan and selected through an open application process.</w:t>
      </w:r>
    </w:p>
    <w:p>
      <w:pPr>
        <w:numPr>
          <w:ilvl w:val="0"/>
          <w:numId w:val="3"/>
        </w:numPr>
        <w:spacing w:beforeAutospacing="true" w:afterAutospacing="true"/>
        <w:rPr>
          <w:rFonts w:cs="Arial"/>
        </w:rPr>
      </w:pPr>
      <w:r>
        <w:rPr>
          <w:rFonts w:cs="Arial"/>
        </w:rPr>
        <w:t xml:space="preserve">Expanded Outreach Methods: Acknowledged for future consideration; no changes made to the current plan.</w:t>
      </w:r>
    </w:p>
    <w:p>
      <w:pPr>
        <w:numPr>
          <w:ilvl w:val="0"/>
          <w:numId w:val="3"/>
        </w:numPr>
        <w:spacing w:beforeAutospacing="true" w:afterAutospacing="true"/>
        <w:rPr>
          <w:rFonts w:cs="Arial"/>
        </w:rPr>
      </w:pPr>
      <w:r>
        <w:rPr>
          <w:rFonts w:cs="Arial"/>
        </w:rPr>
        <w:t xml:space="preserve">Clarified that duplexes and townhomes occupied by a single household qualify as single-family housing, however, that terminology was not included in the plan; no changes made to the current plan.</w:t>
      </w:r>
    </w:p>
    <w:p w14:paraId="6E9D8110" w14:textId="77777777">
      <w:pPr>
        <w:rPr>
          <w:b/>
          <w:sz w:val="24"/>
          <w:szCs w:val="24"/>
        </w:rPr>
      </w:pPr>
      <w:r>
        <w:rPr>
          <w:b/>
          <w:sz w:val="24"/>
          <w:szCs w:val="24"/>
        </w:rPr>
        <w:t>7.</w:t>
        <w:tab/>
        <w:t>Summary</w:t>
      </w:r>
    </w:p>
    <w:p>
      <w:pPr>
        <w:spacing w:beforeAutospacing="true" w:afterAutospacing="true"/>
        <w:rPr>
          <w:rFonts w:cs="Arial"/>
        </w:rPr>
      </w:pPr>
      <w:r>
        <w:rPr>
          <w:rFonts w:cs="Arial"/>
        </w:rPr>
        <w:t xml:space="preserve">The following changes and clarifications were incorporated:</w:t>
      </w:r>
    </w:p>
    <w:p>
      <w:pPr>
        <w:numPr>
          <w:ilvl w:val="0"/>
          <w:numId w:val="3"/>
        </w:numPr>
        <w:spacing w:beforeAutospacing="true" w:afterAutospacing="true"/>
        <w:rPr>
          <w:rFonts w:cs="Arial"/>
        </w:rPr>
      </w:pPr>
      <w:r>
        <w:rPr>
          <w:rFonts w:cs="Arial"/>
        </w:rPr>
        <w:t xml:space="preserve">Revised housing rehabilitation language to emphasize assistance for achieving code compliance rather than requiring an active violation.</w:t>
      </w:r>
    </w:p>
    <w:p>
      <w:pPr>
        <w:numPr>
          <w:ilvl w:val="0"/>
          <w:numId w:val="3"/>
        </w:numPr>
        <w:spacing w:beforeAutospacing="true" w:afterAutospacing="true"/>
        <w:rPr>
          <w:rFonts w:cs="Arial"/>
        </w:rPr>
      </w:pPr>
      <w:r>
        <w:rPr>
          <w:rFonts w:cs="Arial"/>
        </w:rPr>
        <w:t xml:space="preserve">Provided additional clarification regarding administrative costs, program operations, and participant identification.</w:t>
      </w:r>
    </w:p>
    <w:p>
      <w:pPr>
        <w:numPr>
          <w:ilvl w:val="0"/>
          <w:numId w:val="3"/>
        </w:numPr>
        <w:spacing w:beforeAutospacing="true" w:afterAutospacing="true"/>
        <w:rPr>
          <w:rFonts w:cs="Arial"/>
        </w:rPr>
      </w:pPr>
      <w:r>
        <w:rPr>
          <w:rFonts w:cs="Arial"/>
        </w:rPr>
        <w:t xml:space="preserve">Committed to exploring enhanced outreach strategies, including virtual participation, in future program years.</w:t>
      </w:r>
    </w:p>
    <w:p>
      <w:pPr>
        <w:spacing w:beforeAutospacing="true" w:afterAutospacing="true"/>
        <w:rPr>
          <w:rFonts w:cs="Arial"/>
        </w:rPr>
      </w:pPr>
      <w:r>
        <w:rPr>
          <w:rFonts w:cs="Arial"/>
        </w:rPr>
        <w:t xml:space="preserve">Written responses to all comments are included in the final Annual Action Plan.</w:t>
      </w:r>
    </w:p>
    <w:p w14:paraId="49B6441F" w14:textId="77777777">
      <w:pPr>
        <w:pStyle w:val="Heading2"/>
        <w:pageBreakBefore/>
        <w:rPr>
          <w:rFonts w:ascii="Calibri" w:hAnsi="Calibri"/>
          <w:i w:val="false"/>
        </w:rPr>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0603EF0" w14:textId="77777777">
      <w:pPr>
        <w:pStyle w:val="Heading2"/>
        <w:pageBreakBefore/>
        <w:rPr>
          <w:rFonts w:ascii="Calibri" w:hAnsi="Calibri"/>
          <w:i w:val="false"/>
        </w:rPr>
      </w:pPr>
      <w:r>
        <w:rPr>
          <w:rFonts w:ascii="Calibri" w:hAnsi="Calibri"/>
          <w:i w:val="false"/>
        </w:rPr>
        <w:t>PR-05 Lead &amp; Responsible Agencies – 91.200(b)</w:t>
      </w:r>
    </w:p>
    <w:p w14:paraId="375B69AF" w14:textId="77777777">
      <w:pPr>
        <w:keepNext/>
        <w:rPr>
          <w:b/>
          <w:sz w:val="24"/>
          <w:szCs w:val="24"/>
        </w:rPr>
      </w:pPr>
      <w:r>
        <w:rPr>
          <w:b/>
          <w:sz w:val="24"/>
          <w:szCs w:val="24"/>
        </w:rPr>
        <w:t>1.</w:t>
        <w:tab/>
        <w:t>Agency/entity responsible for preparing/administering the Consolidated Plan</w:t>
      </w:r>
    </w:p>
    <w:p w14:paraId="48F23903" w14:textId="77777777">
      <w:pPr>
        <w:keepNext/>
        <w:rPr>
          <w:sz w:val="24"/>
          <w:szCs w:val="24"/>
        </w:rPr>
      </w:pPr>
      <w:r>
        <w:rPr>
          <w:sz w:val="24"/>
          <w:szCs w:val="24"/>
        </w:rPr>
        <w:t>Describe the agency/entity responsible for preparing the Consolidated Plan and those responsible for administration of each grant program and funding source.</w:t>
      </w:r>
    </w:p>
    <w:tbl>
      <w:tblPr>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4392"/>
        <w:gridCol w:w="4392"/>
        <w:gridCol w:w="4392"/>
      </w:tblGrid>
      <w:tr w14:paraId="0A0DBE31" w14:textId="77777777">
        <w:trPr>
          <w:cantSplit/>
          <w:tblHeader/>
        </w:trPr>
        <w:tc>
          <w:tcPr>
            <w:tcW w:w="3192" w:type="dxa"/>
          </w:tcPr>
          <w:p w14:paraId="0F820B26" w14:textId="77777777">
            <w:pPr>
              <w:keepNext/>
              <w:widowControl w:val="false"/>
              <w:spacing w:after="0" w:line="240" w:lineRule="auto"/>
              <w:jc w:val="center"/>
              <w:rPr>
                <w:b/>
                <w:bCs/>
              </w:rPr>
            </w:pPr>
            <w:r>
              <w:rPr>
                <w:b/>
                <w:bCs/>
              </w:rPr>
              <w:t>Agency Role</w:t>
            </w:r>
          </w:p>
        </w:tc>
        <w:tc>
          <w:tcPr>
            <w:tcW w:w="3192" w:type="dxa"/>
          </w:tcPr>
          <w:p w14:paraId="0AF2693B" w14:textId="77777777">
            <w:pPr>
              <w:keepNext/>
              <w:widowControl w:val="false"/>
              <w:spacing w:after="0" w:line="240" w:lineRule="auto"/>
              <w:jc w:val="center"/>
              <w:rPr>
                <w:b/>
                <w:bCs/>
              </w:rPr>
            </w:pPr>
            <w:r>
              <w:rPr>
                <w:b/>
                <w:bCs/>
              </w:rPr>
              <w:t>Name</w:t>
            </w:r>
          </w:p>
        </w:tc>
        <w:tc>
          <w:tcPr>
            <w:tcW w:w="3192" w:type="dxa"/>
          </w:tcPr>
          <w:p w14:paraId="10BBA74C" w14:textId="77777777">
            <w:pPr>
              <w:keepNext/>
              <w:widowControl w:val="false"/>
              <w:spacing w:after="0" w:line="240" w:lineRule="auto"/>
              <w:jc w:val="center"/>
              <w:rPr>
                <w:b/>
                <w:bCs/>
              </w:rPr>
            </w:pPr>
            <w:r>
              <w:rPr>
                <w:b/>
                <w:bCs/>
              </w:rPr>
              <w:t>Department/Agency</w:t>
            </w:r>
          </w:p>
        </w:tc>
      </w:tr>
      <w:tr w14:paraId="3213D45D" w14:textId="77777777">
        <w:trPr>
          <w:cantSplit/>
          <w:tblHeader/>
        </w:trPr>
        <w:tc>
          <w:tcPr>
            <w:tcW w:w="3192" w:type="dxa"/>
          </w:tcPr>
          <w:p w14:paraId="1CB4EB7D" w14:textId="77777777">
            <w:pPr>
              <w:keepNext/>
              <w:widowControl w:val="false"/>
              <w:spacing w:after="0" w:line="240" w:lineRule="auto"/>
              <w:rPr>
                <w:bCs/>
              </w:rPr>
            </w:pPr>
          </w:p>
        </w:tc>
        <w:tc>
          <w:tcPr>
            <w:tcW w:w="3192" w:type="dxa"/>
          </w:tcPr>
          <w:p w14:paraId="63BADD78" w14:textId="77777777">
            <w:pPr>
              <w:keepNext/>
              <w:widowControl w:val="false"/>
              <w:spacing w:after="0" w:line="240" w:lineRule="auto"/>
              <w:rPr>
                <w:bCs/>
              </w:rPr>
            </w:pPr>
          </w:p>
        </w:tc>
        <w:tc>
          <w:tcPr>
            <w:tcW w:w="3192" w:type="dxa"/>
          </w:tcPr>
          <w:p w14:paraId="12CF343D" w14:textId="77777777">
            <w:pPr>
              <w:keepNext/>
              <w:widowControl w:val="false"/>
              <w:spacing w:after="0" w:line="240" w:lineRule="auto"/>
              <w:rPr>
                <w:bCs/>
              </w:rPr>
            </w:pPr>
          </w:p>
        </w:tc>
      </w:tr>
    </w:tbl>
    <w:p w14:paraId="3DC6C336" w14:textId="77777777">
      <w:pPr>
        <w:spacing w:after="0" w:line="240" w:lineRule="auto"/>
        <w:rPr>
          <w:b/>
          <w:vanish/>
          <w:sz w:val="24"/>
          <w:szCs w:val="24"/>
        </w:rPr>
      </w:pPr>
    </w:p>
    <w:tbl>
      <w:tblPr>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4392"/>
        <w:gridCol w:w="4392"/>
        <w:gridCol w:w="4392"/>
      </w:tblGrid>
      <w:tr w14:paraId="77089E08" w14:textId="77777777">
        <w:trPr>
          <w:cantSplit/>
          <w:tblHeader/>
          <w:hidden/>
        </w:trPr>
        <w:tc>
          <w:tcPr>
            <w:tcW w:w="3192" w:type="dxa"/>
          </w:tcPr>
          <w:p w14:paraId="0D3BB6C7" w14:textId="77777777">
            <w:pPr>
              <w:keepNext/>
              <w:widowControl w:val="false"/>
              <w:spacing w:after="0" w:line="240" w:lineRule="auto"/>
              <w:jc w:val="center"/>
              <w:rPr>
                <w:b/>
                <w:bCs/>
                <w:vanish/>
              </w:rPr>
            </w:pPr>
          </w:p>
        </w:tc>
        <w:tc>
          <w:tcPr>
            <w:tcW w:w="3192" w:type="dxa"/>
          </w:tcPr>
          <w:p w14:paraId="46DFA0B2" w14:textId="77777777">
            <w:pPr>
              <w:keepNext/>
              <w:widowControl w:val="false"/>
              <w:spacing w:after="0" w:line="240" w:lineRule="auto"/>
              <w:jc w:val="center"/>
              <w:rPr>
                <w:b/>
                <w:bCs/>
                <w:vanish/>
              </w:rPr>
            </w:pPr>
          </w:p>
        </w:tc>
        <w:tc>
          <w:tcPr>
            <w:tcW w:w="3192" w:type="dxa"/>
          </w:tcPr>
          <w:p w14:paraId="0C24B38B" w14:textId="77777777">
            <w:pPr>
              <w:keepNext/>
              <w:widowControl w:val="false"/>
              <w:spacing w:after="0" w:line="240" w:lineRule="auto"/>
              <w:jc w:val="center"/>
              <w:rPr>
                <w:b/>
                <w:bCs/>
                <w:vanish/>
              </w:rPr>
            </w:pPr>
          </w:p>
        </w:tc>
      </w:tr>
      <w:tr>
        <w:trPr>
          <w:cantSplit w:val="true"/>
        </w:trPr>
        <w:tc>
          <w:tcPr>
            <w:vAlign w:val="top"/>
          </w:tcPr>
          <w:p>
            <w:pPr>
              <w:spacing w:beforeAutospacing="true" w:afterAutospacing="true"/>
              <w:jc w:val="left"/>
            </w:pPr>
            <w:r>
              <w:rPr>
                <w:rFonts w:ascii="Calibri" w:hAnsi="Calibri"/>
                <w:color w:val="000000"/>
                <w:sz w:val="22"/>
              </w:rPr>
              <w:t xml:space="preserve">CDBG Administrator</w:t>
            </w:r>
          </w:p>
        </w:tc>
        <w:tc>
          <w:tcPr>
            <w:vAlign w:val="top"/>
          </w:tcPr>
          <w:p>
            <w:pPr>
              <w:spacing w:beforeAutospacing="true" w:afterAutospacing="true"/>
              <w:jc w:val="left"/>
            </w:pPr>
            <w:r>
              <w:rPr>
                <w:rFonts w:ascii="Calibri" w:hAnsi="Calibri"/>
                <w:color w:val="000000"/>
                <w:sz w:val="22"/>
              </w:rPr>
              <w:t xml:space="preserve">DOVER</w:t>
            </w:r>
          </w:p>
        </w:tc>
        <w:tc>
          <w:tcPr>
            <w:vAlign w:val="top"/>
          </w:tcPr>
          <w:p>
            <w:pPr>
              <w:spacing w:beforeAutospacing="true" w:afterAutospacing="true"/>
              <w:jc w:val="left"/>
            </w:pPr>
            <w:r>
              <w:rPr>
                <w:rFonts w:ascii="Calibri" w:hAnsi="Calibri"/>
                <w:color w:val="000000"/>
                <w:sz w:val="22"/>
              </w:rPr>
              <w:t xml:space="preserve">Planning/ City of Dover</w:t>
            </w:r>
          </w:p>
        </w:tc>
      </w:tr>
    </w:tbl>
    <w:p w14:paraId="453E312C" w14:textId="77777777">
      <w:pPr>
        <w:pStyle w:val="Caption"/>
        <w:jc w:val="center"/>
        <w:rPr>
          <w:rFonts w:asciiTheme="minorHAnsi" w:hAnsiTheme="minorHAnsi"/>
        </w:rPr>
      </w:pPr>
      <w:r>
        <w:rPr>
          <w:rFonts w:asciiTheme="minorHAnsi" w:hAnsiTheme="minorHAnsi"/>
        </w:rPr>
        <w:t xml:space="preserve">Table </w:t>
        <w:fldChar w:fldCharType="begin"/>
        <w:instrText xml:space="preserve"> SEQ Table \* ARABIC </w:instrText>
        <w:fldChar w:fldCharType="separate"/>
        <w:t>1</w:t>
        <w:fldChar w:fldCharType="end"/>
        <w:t xml:space="preserve"> – Responsible Agencies</w:t>
      </w:r>
    </w:p>
    <w:p w14:paraId="7DF144BD" w14:textId="77777777">
      <w:pPr>
        <w:spacing w:after="0" w:line="240" w:lineRule="auto"/>
        <w:rPr>
          <w:b/>
          <w:sz w:val="24"/>
          <w:szCs w:val="24"/>
        </w:rPr>
      </w:pPr>
    </w:p>
    <w:p w14:paraId="2BE70C1C" w14:textId="77777777">
      <w:pPr>
        <w:rPr>
          <w:b/>
          <w:sz w:val="24"/>
          <w:szCs w:val="24"/>
        </w:rPr>
      </w:pPr>
      <w:r>
        <w:rPr>
          <w:b/>
          <w:sz w:val="24"/>
          <w:szCs w:val="24"/>
        </w:rPr>
        <w:t>Narrative (optional)</w:t>
      </w:r>
    </w:p>
    <w:p>
      <w:pPr>
        <w:spacing w:beforeAutospacing="true" w:afterAutospacing="true"/>
        <w:rPr>
          <w:rFonts w:cs="Arial"/>
        </w:rPr>
      </w:pPr>
      <w:r>
        <w:rPr>
          <w:rFonts w:cs="Arial"/>
        </w:rPr>
        <w:t xml:space="preserve">The Community Development Office is a part of the Department of Planning and Inspections. The Community Development Office has one full-time employee, the Community Development Manager who administers the Community Development Block Grant and is the Fair Housing Coordinator. The City leverages cross-departmental support and experienced subrecipients to ensure effective program delivery and compliance. Clerical, planning and inspection assistance is provided by the Planning and Inspections Department. The Building Inspections Office also provides housing and life safety inspections throughout the City, including property maintenance. The Dover Housing Authority provides responsibility for the public housing needs within the City and is a separate entity from the City. The Delaware State Housing Authority operates both Section 8 vouchers and public housing units also caters to the housing needs of low- and moderate-income households.</w:t>
      </w:r>
    </w:p>
    <w:p w14:paraId="7570ED9C" w14:textId="77777777">
      <w:pPr>
        <w:rPr>
          <w:b/>
          <w:sz w:val="24"/>
          <w:szCs w:val="24"/>
        </w:rPr>
      </w:pPr>
      <w:r>
        <w:rPr>
          <w:b/>
          <w:sz w:val="24"/>
          <w:szCs w:val="24"/>
        </w:rPr>
        <w:t>Consolidated Plan Public Contact Information</w:t>
      </w:r>
    </w:p>
    <w:p>
      <w:pPr>
        <w:spacing w:beforeAutospacing="true" w:afterAutospacing="true"/>
        <w:rPr>
          <w:rFonts w:cs="Arial"/>
        </w:rPr>
      </w:pPr>
      <w:r>
        <w:rPr>
          <w:rFonts w:cs="Arial"/>
        </w:rPr>
        <w:t xml:space="preserve">City of Dover Department of Planning, Inspections &amp; Community Development</w:t>
      </w:r>
      <w:r>
        <w:rPr>
          <w:rFonts w:cs="Arial"/>
        </w:rPr>
        <w:br/>
        <w:t xml:space="preserve"/>
      </w:r>
      <w:r>
        <w:rPr>
          <w:rFonts w:cs="Arial"/>
        </w:rPr>
        <w:t xml:space="preserve"> 15 Loockerman Plaza, Dover, DE 19901</w:t>
      </w:r>
      <w:r>
        <w:rPr>
          <w:rFonts w:cs="Arial"/>
        </w:rPr>
        <w:br/>
        <w:t xml:space="preserve"/>
      </w:r>
      <w:r>
        <w:rPr>
          <w:rFonts w:cs="Arial"/>
        </w:rPr>
        <w:t xml:space="preserve"> Phone (302) 736-7175 Fax: (302) 736-4217</w:t>
      </w:r>
      <w:r>
        <w:rPr>
          <w:rFonts w:cs="Arial"/>
        </w:rPr>
        <w:br/>
        <w:t xml:space="preserve"/>
      </w:r>
      <w:r>
        <w:rPr>
          <w:rFonts w:cs="Arial"/>
        </w:rPr>
        <w:t xml:space="preserve"> Website:  www.cityofdover.gov</w:t>
      </w:r>
      <w:r>
        <w:rPr>
          <w:rFonts w:cs="Arial"/>
        </w:rPr>
        <w:br/>
        <w:t xml:space="preserve"/>
      </w:r>
      <w:r>
        <w:rPr>
          <w:rFonts w:cs="Arial"/>
        </w:rPr>
        <w:t xml:space="preserve"> Debbie O’Brien, Community Development Manager</w:t>
      </w:r>
      <w:r>
        <w:rPr>
          <w:rFonts w:cs="Arial"/>
        </w:rPr>
        <w:br/>
        <w:t xml:space="preserve"/>
      </w:r>
      <w:r>
        <w:rPr>
          <w:rFonts w:cs="Arial"/>
        </w:rPr>
        <w:t xml:space="preserve"> Email: dobrien@dover.de.us</w:t>
      </w:r>
    </w:p>
    <w:p w14:paraId="411B083B" w14:textId="77777777">
      <w:pPr>
        <w:pStyle w:val="Heading2"/>
        <w:keepNext w:val="false"/>
        <w:pageBreakBefore/>
        <w:widowControl w:val="false"/>
        <w:rPr>
          <w:rFonts w:ascii="Calibri" w:hAnsi="Calibri"/>
          <w:i w:val="false"/>
        </w:rPr>
        <w:sectPr>
          <w:pgSz w:w="15840" w:h="12240" w:orient="landscape"/>
          <w:pgMar w:top="1440" w:right="1440" w:bottom="1440" w:left="1440" w:header="720" w:footer="720" w:gutter="0"/>
          <w:cols w:space="720"/>
          <w:docGrid w:linePitch="360"/>
        </w:sectPr>
      </w:pPr>
    </w:p>
    <w:p w14:paraId="45179E4B" w14:textId="77777777">
      <w:pPr>
        <w:pStyle w:val="Heading2"/>
        <w:keepNext w:val="false"/>
        <w:pageBreakBefore/>
        <w:widowControl w:val="false"/>
        <w:rPr>
          <w:rFonts w:ascii="Calibri" w:hAnsi="Calibri"/>
          <w:i w:val="false"/>
        </w:rPr>
      </w:pPr>
      <w:r>
        <w:rPr>
          <w:rFonts w:ascii="Calibri" w:hAnsi="Calibri"/>
          <w:i w:val="false"/>
        </w:rPr>
        <w:t>AP-10 Consultation – 91.100, 91.200(b), 91.215(l)</w:t>
      </w:r>
    </w:p>
    <w:p w14:paraId="36207B70" w14:textId="77777777">
      <w:pPr>
        <w:rPr>
          <w:b/>
          <w:sz w:val="24"/>
          <w:szCs w:val="24"/>
        </w:rPr>
      </w:pPr>
      <w:r>
        <w:rPr>
          <w:b/>
          <w:sz w:val="24"/>
          <w:szCs w:val="24"/>
        </w:rPr>
        <w:t>1.</w:t>
        <w:tab/>
        <w:t>Introduction</w:t>
      </w:r>
    </w:p>
    <w:p>
      <w:pPr>
        <w:spacing w:beforeAutospacing="true" w:afterAutospacing="true"/>
        <w:rPr>
          <w:rFonts w:cs="Arial"/>
        </w:rPr>
      </w:pPr>
      <w:r>
        <w:rPr>
          <w:rFonts w:cs="Arial"/>
        </w:rPr>
        <w:t xml:space="preserve">The City of Dover consults with a range of public, private, and nonprofit organizations to identify housing and community development needs and to guide the allocation of Community Development Block Grant (CDBG) funds. These consultations support a coordinated approach to addressing the needs of low- and moderate-income residents, including those experiencing homelessness, housing instability, and other challenges.</w:t>
      </w:r>
    </w:p>
    <w:p>
      <w:pPr>
        <w:spacing w:beforeAutospacing="true" w:afterAutospacing="true"/>
        <w:rPr>
          <w:rFonts w:cs="Arial"/>
        </w:rPr>
      </w:pPr>
      <w:r>
        <w:rPr>
          <w:rFonts w:cs="Arial"/>
        </w:rPr>
        <w:t xml:space="preserve">The City works collaboratively with housing providers, social service agencies, state and local government partners, and organizations participating in the Continuum of Care to ensure that programs and services are aligned with community priorities. Through these efforts, the City seeks to leverage available resources, reduce duplication of services, and improve the overall effectiveness of its housing and community development activities.</w:t>
      </w:r>
    </w:p>
    <w:p w14:paraId="190CE78E" w14:textId="77777777">
      <w:pPr>
        <w:rPr>
          <w:b/>
          <w:sz w:val="24"/>
          <w:szCs w:val="24"/>
        </w:rPr>
      </w:pPr>
      <w:r>
        <w:rPr>
          <w:b/>
          <w:sz w:val="24"/>
          <w:szCs w:val="24"/>
        </w:rPr>
        <w:t>Provide a concise summary of the jurisdiction’s activities to enhance coordination between public and assisted housing providers and private and governmental health, mental health and service agencies (91.215(l))</w:t>
      </w:r>
    </w:p>
    <w:p>
      <w:pPr>
        <w:spacing w:beforeAutospacing="true" w:afterAutospacing="true"/>
        <w:rPr>
          <w:rFonts w:cs="Arial"/>
        </w:rPr>
      </w:pPr>
      <w:r>
        <w:rPr>
          <w:rFonts w:cs="Arial"/>
        </w:rPr>
        <w:t xml:space="preserve">The City of Dover enhances coordination among public and assisted housing providers, and private and governmental health and service agencies, through ongoing collaboration with local, state, and nonprofit partners. The City engages these stakeholders in identifying housing and community development needs, particularly for vulnerable populations including persons experiencing homelessness, individuals with disabilities, the elderly, and low- and moderate-income households.</w:t>
      </w:r>
    </w:p>
    <w:p>
      <w:pPr>
        <w:spacing w:beforeAutospacing="true" w:afterAutospacing="true"/>
        <w:rPr>
          <w:rFonts w:cs="Arial"/>
        </w:rPr>
      </w:pPr>
      <w:r>
        <w:rPr>
          <w:rFonts w:cs="Arial"/>
        </w:rPr>
        <w:t xml:space="preserve">The City works closely with housing providers such as the Delaware State Housing Authority and Dover Housing Authority, as well as nonprofit housing and service organizations including Dover Interfaith Mission for Housing, Central Delaware Housing Collaborative, Central Delaware Habitat for Humanity, and Milford Housing Development Corporation. In addition, coordination with the State of Delaware Department of Health and Social Services and internal departments such as the City of Dover Planning Department helps align housing activities with health, supportive services, and broader community development efforts.</w:t>
      </w:r>
    </w:p>
    <w:p>
      <w:pPr>
        <w:spacing w:beforeAutospacing="true" w:afterAutospacing="true"/>
        <w:rPr>
          <w:rFonts w:cs="Arial"/>
        </w:rPr>
      </w:pPr>
      <w:r>
        <w:rPr>
          <w:rFonts w:cs="Arial"/>
        </w:rPr>
        <w:t xml:space="preserve">Through these partnerships, the City promotes a coordinated service delivery system, reduces duplication of efforts, and leverages resources to improve housing stability and access to supportive services for residents in need.</w:t>
      </w:r>
    </w:p>
    <w:p w14:paraId="0F1BC58B" w14:textId="77777777">
      <w:pPr>
        <w:rPr>
          <w:b/>
          <w:sz w:val="24"/>
          <w:szCs w:val="24"/>
        </w:rPr>
      </w:pPr>
      <w:r>
        <w:rPr>
          <w:b/>
          <w:sz w:val="24"/>
          <w:szCs w:val="24"/>
        </w:rPr>
        <w:t>Describe coordination with the Continuum of Care and efforts to address the needs of homeless persons (particularly chronically homeless individuals and families, families with children, veterans, and unaccompanied youth) and persons at risk of homelessness.</w:t>
      </w:r>
    </w:p>
    <w:p>
      <w:pPr>
        <w:spacing w:beforeAutospacing="true" w:afterAutospacing="true"/>
        <w:rPr>
          <w:rFonts w:cs="Arial"/>
        </w:rPr>
      </w:pPr>
      <w:r>
        <w:rPr>
          <w:rFonts w:cs="Arial"/>
        </w:rPr>
        <w:t xml:space="preserve">The City of Dover coordinates with the Housing Alliance of Delaware, which serves as the Continuum of Care (CoC) for the State of Delaware, to address the needs of individuals and families experiencing homelessness or at risk of homelessness. City staff participate in ongoing communication and collaboration with CoC partners to better understand local homeless needs and align funding priorities with statewide strategies.</w:t>
      </w:r>
    </w:p>
    <w:p>
      <w:pPr>
        <w:spacing w:beforeAutospacing="true" w:afterAutospacing="true"/>
        <w:rPr>
          <w:rFonts w:cs="Arial"/>
        </w:rPr>
      </w:pPr>
      <w:r>
        <w:rPr>
          <w:rFonts w:cs="Arial"/>
        </w:rPr>
        <w:t xml:space="preserve">Through partnerships with local service providers that are part of the Continuum of Care network, including emergency shelter and transitional housing providers, the City supports programs that provide shelter, case management, and supportive services to individuals experiencing housing instability. These efforts contribute to a coordinated approach to reducing homelessness and improving access to housing resources.</w:t>
      </w:r>
    </w:p>
    <w:p>
      <w:pPr>
        <w:spacing w:beforeAutospacing="true" w:afterAutospacing="true"/>
        <w:rPr>
          <w:rFonts w:cs="Arial"/>
        </w:rPr>
      </w:pPr>
      <w:r>
        <w:rPr>
          <w:rFonts w:cs="Arial"/>
        </w:rPr>
        <w:t xml:space="preserve">The City’s coordination with the Continuum of Care helps ensure that available resources are used effectively, services are not duplicated, and individuals experiencing homelessness are connected to appropriate housing and support services through an integrated system of care.</w:t>
      </w:r>
    </w:p>
    <w:p w14:paraId="4B469BFF" w14:textId="77777777">
      <w:pPr>
        <w:rPr>
          <w:b/>
          <w:sz w:val="24"/>
          <w:szCs w:val="24"/>
        </w:rPr>
      </w:pPr>
      <w:r>
        <w:rPr>
          <w:b/>
          <w:sz w:val="24"/>
          <w:szCs w:val="24"/>
        </w:rPr>
        <w:t>Describe consultation with the Continuum(s) of Care that serves the jurisdiction's area in determining how to allocate ESG funds, develop performance standards for and evaluate outcomes of projects and activities assisted by ESG funds, and develop funding, policies and procedures for the operation and administration of HMIS</w:t>
      </w:r>
    </w:p>
    <w:p>
      <w:pPr>
        <w:spacing w:beforeAutospacing="true" w:afterAutospacing="true"/>
        <w:rPr>
          <w:rFonts w:cs="Arial"/>
        </w:rPr>
      </w:pPr>
      <w:r>
        <w:rPr>
          <w:rFonts w:cs="Arial"/>
        </w:rPr>
        <w:t xml:space="preserve">Not applicable, the City of Dover does not receive ESG funds.</w:t>
      </w:r>
    </w:p>
    <w:p w14:paraId="70AE3FB5" w14:textId="77777777">
      <w:pPr>
        <w:rPr>
          <w:b/>
          <w:sz w:val="24"/>
          <w:szCs w:val="24"/>
        </w:rPr>
      </w:pPr>
      <w:r>
        <w:rPr>
          <w:b/>
          <w:sz w:val="24"/>
          <w:szCs w:val="24"/>
        </w:rPr>
        <w:t>2.</w:t>
        <w:tab/>
        <w:t>Describe Agencies, groups, organizations and others who participated in the process and describe the jurisdiction’s consultations with housing, social service agencies and other entities</w:t>
      </w:r>
    </w:p>
    <w:p w14:paraId="67CEE608" w14:textId="77777777">
      <w:pPr>
        <w:keepNext/>
        <w:widowControl w:val="false"/>
        <w:spacing w:after="0" w:line="240" w:lineRule="auto"/>
        <w:rPr>
          <w:b/>
          <w:bCs/>
        </w:rPr>
        <w:sectPr>
          <w:pgSz w:w="12240" w:h="15840"/>
          <w:pgMar w:top="1440" w:right="1440" w:bottom="1440" w:left="1440" w:header="720" w:footer="720" w:gutter="0"/>
          <w:cols w:space="720"/>
          <w:docGrid w:linePitch="360"/>
        </w:sectPr>
      </w:pPr>
    </w:p>
    <w:p w14:paraId="2F74ADC2" w14:textId="77777777">
      <w:pPr>
        <w:pStyle w:val="Caption"/>
        <w:rPr>
          <w:rFonts w:asciiTheme="minorHAnsi" w:hAnsiTheme="minorHAnsi"/>
        </w:rPr>
      </w:pPr>
      <w:r>
        <w:rPr>
          <w:rFonts w:asciiTheme="minorHAnsi" w:hAnsiTheme="minorHAnsi"/>
        </w:rPr>
        <w:t xml:space="preserve">Table </w:t>
        <w:fldChar w:fldCharType="begin"/>
        <w:instrText xml:space="preserve"> SEQ Table \* ARABIC </w:instrText>
        <w:fldChar w:fldCharType="separate"/>
        <w:t>2</w:t>
        <w:fldChar w:fldCharType="end"/>
        <w:t xml:space="preserve"> – Agencies, groups, organizations who participated</w:t>
      </w:r>
    </w:p>
    <w:tb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Pr>
      <w:tblGrid/>
      <w:tr>
        <w:trPr>
          <w:cantSplit w:val="true"/>
        </w:trPr>
        <w:tc>
          <w:tcPr>
            <w:vMerge w:val="restart"/>
          </w:tcPr>
          <w:p>
            <w:pPr>
              <w:keepNext w:val="true"/>
              <w:spacing w:before="100" w:after="0"/>
            </w:pPr>
            <w:r>
              <w:rPr>
                <w:rFonts w:ascii="Calibri" w:hAnsi="Calibri"/>
                <w:color w:val="000000"/>
                <w:sz w:val="22"/>
              </w:rPr>
              <w:t xml:space="preserve">1</w:t>
            </w:r>
          </w:p>
        </w:tc>
        <w:tc>
          <w:p w14:paraId="075BB4AD" w14:textId="77777777">
            <w:pPr>
              <w:keepNext w:val="true"/>
              <w:spacing w:before="100" w:after="0"/>
              <w:rPr>
                <w:b/>
              </w:rPr>
            </w:pPr>
            <w:r>
              <w:rPr>
                <w:b/>
              </w:rPr>
              <w:t>Agency/Group/Organization</w:t>
            </w:r>
          </w:p>
        </w:tc>
        <w:tc>
          <w:p>
            <w:pPr>
              <w:spacing w:before="100" w:after="0"/>
            </w:pPr>
            <w:r>
              <w:rPr>
                <w:rFonts w:ascii="Calibri" w:hAnsi="Calibri"/>
                <w:color w:val="000000"/>
                <w:sz w:val="22"/>
              </w:rPr>
              <w:t xml:space="preserve">Housing Alliance Delaware</w:t>
            </w:r>
          </w:p>
        </w:tc>
      </w:tr>
      <w:tr>
        <w:trPr>
          <w:cantSplit w:val="true"/>
        </w:trPr>
        <w:tc>
          <w:tcPr>
            <w:vMerge/>
          </w:tcPr>
          <w:p/>
        </w:tc>
        <w:tc>
          <w:p w14:paraId="642EF64F" w14:textId="77777777">
            <w:pPr>
              <w:keepNext w:val="true"/>
              <w:spacing w:before="100" w:after="0"/>
              <w:rPr>
                <w:b/>
              </w:rPr>
            </w:pPr>
            <w:r>
              <w:rPr>
                <w:b/>
              </w:rPr>
              <w:t>Agency/Group/Organization Type</w:t>
            </w:r>
          </w:p>
        </w:tc>
        <w:tc>
          <w:p>
            <w:pPr>
              <w:spacing w:before="100" w:after="0"/>
            </w:pPr>
            <w:r>
              <w:rPr>
                <w:rFonts w:ascii="Calibri" w:hAnsi="Calibri"/>
                <w:color w:val="000000"/>
                <w:sz w:val="22"/>
              </w:rPr>
              <w:t xml:space="preserve">Services-homeless</w:t>
            </w:r>
          </w:p>
        </w:tc>
      </w:tr>
      <w:tr>
        <w:trPr>
          <w:cantSplit w:val="true"/>
        </w:trPr>
        <w:tc>
          <w:tcPr>
            <w:vMerge/>
          </w:tcPr>
          <w:p/>
        </w:tc>
        <w:tc>
          <w:p w14:paraId="78AC2E01" w14:textId="77777777">
            <w:pPr>
              <w:keepNext w:val="true"/>
              <w:spacing w:before="100" w:after="0"/>
              <w:rPr>
                <w:b/>
              </w:rPr>
            </w:pPr>
            <w:r>
              <w:rPr>
                <w:b/>
              </w:rPr>
              <w:t>What section of the Plan was addressed by Consultation?</w:t>
            </w:r>
          </w:p>
        </w:tc>
        <w:tc>
          <w:p>
            <w:pPr>
              <w:spacing w:before="100" w:after="0"/>
            </w:pPr>
            <w:r>
              <w:rPr>
                <w:rFonts w:ascii="Calibri" w:hAnsi="Calibri"/>
                <w:color w:val="000000"/>
                <w:sz w:val="22"/>
              </w:rPr>
              <w:t xml:space="preserve">Homeless Needs - Chronically homeless</w:t>
            </w:r>
            <w:r>
              <w:rPr>
                <w:rFonts w:ascii="Calibri" w:hAnsi="Calibri"/>
                <w:color w:val="000000"/>
                <w:sz w:val="22"/>
              </w:rPr>
              <w:br/>
              <w:t xml:space="preserve"/>
            </w:r>
            <w:r>
              <w:rPr>
                <w:rFonts w:ascii="Calibri" w:hAnsi="Calibri"/>
                <w:color w:val="000000"/>
                <w:sz w:val="22"/>
              </w:rPr>
              <w:t xml:space="preserve">Homeless Needs - Families with children</w:t>
            </w:r>
            <w:r>
              <w:rPr>
                <w:rFonts w:ascii="Calibri" w:hAnsi="Calibri"/>
                <w:color w:val="000000"/>
                <w:sz w:val="22"/>
              </w:rPr>
              <w:br/>
              <w:t xml:space="preserve"/>
            </w:r>
            <w:r>
              <w:rPr>
                <w:rFonts w:ascii="Calibri" w:hAnsi="Calibri"/>
                <w:color w:val="000000"/>
                <w:sz w:val="22"/>
              </w:rPr>
              <w:t xml:space="preserve">Homelessness Needs - Veterans</w:t>
            </w:r>
            <w:r>
              <w:rPr>
                <w:rFonts w:ascii="Calibri" w:hAnsi="Calibri"/>
                <w:color w:val="000000"/>
                <w:sz w:val="22"/>
              </w:rPr>
              <w:br/>
              <w:t xml:space="preserve"/>
            </w:r>
            <w:r>
              <w:rPr>
                <w:rFonts w:ascii="Calibri" w:hAnsi="Calibri"/>
                <w:color w:val="000000"/>
                <w:sz w:val="22"/>
              </w:rPr>
              <w:t xml:space="preserve">Homelessness Needs - Unaccompanied youth</w:t>
            </w:r>
            <w:r>
              <w:rPr>
                <w:rFonts w:ascii="Calibri" w:hAnsi="Calibri"/>
                <w:color w:val="000000"/>
                <w:sz w:val="22"/>
              </w:rPr>
              <w:br/>
              <w:t xml:space="preserve"/>
            </w:r>
            <w:r>
              <w:rPr>
                <w:rFonts w:ascii="Calibri" w:hAnsi="Calibri"/>
                <w:color w:val="000000"/>
                <w:sz w:val="22"/>
              </w:rPr>
              <w:t xml:space="preserve">Homelessness Strategy</w:t>
            </w:r>
          </w:p>
        </w:tc>
      </w:tr>
      <w:tr>
        <w:trPr>
          <w:cantSplit w:val="true"/>
        </w:trPr>
        <w:tc>
          <w:tcPr>
            <w:vMerge/>
          </w:tcPr>
          <w:p/>
        </w:tc>
        <w:tc>
          <w:p w14:paraId="006DDF7E" w14:textId="77777777">
            <w:pPr>
              <w:keepNext w:val="true"/>
              <w:spacing w:before="100" w:after="0"/>
              <w:rPr>
                <w:b/>
              </w:rPr>
            </w:pPr>
            <w:r>
              <w:rPr>
                <w:b/>
              </w:rPr>
              <w:t>Briefly describe how the Agency/Group/Organization was consulted. What are the anticipated outcomes of the consultation or areas for improved coordination?</w:t>
            </w:r>
          </w:p>
        </w:tc>
        <w:tc>
          <w:p>
            <w:pPr>
              <w:spacing w:before="100" w:after="0"/>
            </w:pPr>
            <w:r>
              <w:rPr>
                <w:rFonts w:ascii="Calibri" w:hAnsi="Calibri"/>
                <w:color w:val="000000"/>
                <w:sz w:val="22"/>
              </w:rPr>
              <w:t xml:space="preserve">The City coordinates with the Housing Alliance of Delaware as the Continuum of Care (CoC) for the State of Delaware. City staff participate in ongoing collaboration and utilize data and input from the CoC to better understand local homelessness trends and service needs. This coordination supports alignment of funding priorities and strengthens efforts to reduce homelessness and improve access to housing and supportive services.</w:t>
            </w:r>
          </w:p>
        </w:tc>
      </w:tr>
      <w:tr>
        <w:trPr>
          <w:cantSplit w:val="true"/>
        </w:trPr>
        <w:tc>
          <w:tcPr>
            <w:vMerge w:val="restart"/>
          </w:tcPr>
          <w:p>
            <w:pPr>
              <w:keepNext w:val="true"/>
              <w:spacing w:before="100" w:after="0"/>
            </w:pPr>
            <w:r>
              <w:rPr>
                <w:rFonts w:ascii="Calibri" w:hAnsi="Calibri"/>
                <w:color w:val="000000"/>
                <w:sz w:val="22"/>
              </w:rPr>
              <w:t xml:space="preserve">2</w:t>
            </w:r>
          </w:p>
        </w:tc>
        <w:tc>
          <w:p w14:paraId="075BB4AD" w14:textId="77777777">
            <w:pPr>
              <w:keepNext w:val="true"/>
              <w:spacing w:before="100" w:after="0"/>
              <w:rPr>
                <w:b/>
              </w:rPr>
            </w:pPr>
            <w:r>
              <w:rPr>
                <w:b/>
              </w:rPr>
              <w:t>Agency/Group/Organization</w:t>
            </w:r>
          </w:p>
        </w:tc>
        <w:tc>
          <w:p>
            <w:pPr>
              <w:spacing w:before="100" w:after="0"/>
            </w:pPr>
            <w:r>
              <w:rPr>
                <w:rFonts w:ascii="Calibri" w:hAnsi="Calibri"/>
                <w:color w:val="000000"/>
                <w:sz w:val="22"/>
              </w:rPr>
              <w:t xml:space="preserve">NCALL Research</w:t>
            </w:r>
          </w:p>
        </w:tc>
      </w:tr>
      <w:tr>
        <w:trPr>
          <w:cantSplit w:val="true"/>
        </w:trPr>
        <w:tc>
          <w:tcPr>
            <w:vMerge/>
          </w:tcPr>
          <w:p/>
        </w:tc>
        <w:tc>
          <w:p w14:paraId="642EF64F" w14:textId="77777777">
            <w:pPr>
              <w:keepNext w:val="true"/>
              <w:spacing w:before="100" w:after="0"/>
              <w:rPr>
                <w:b/>
              </w:rPr>
            </w:pPr>
            <w:r>
              <w:rPr>
                <w:b/>
              </w:rPr>
              <w:t>Agency/Group/Organization Type</w:t>
            </w:r>
          </w:p>
        </w:tc>
        <w:tc>
          <w:p>
            <w:pPr>
              <w:spacing w:before="100" w:after="0"/>
            </w:pPr>
            <w:r>
              <w:rPr>
                <w:rFonts w:ascii="Calibri" w:hAnsi="Calibri"/>
                <w:color w:val="000000"/>
                <w:sz w:val="22"/>
              </w:rPr>
              <w:t xml:space="preserve">Services - Housing</w:t>
            </w:r>
          </w:p>
        </w:tc>
      </w:tr>
      <w:tr>
        <w:trPr>
          <w:cantSplit w:val="true"/>
        </w:trPr>
        <w:tc>
          <w:tcPr>
            <w:vMerge/>
          </w:tcPr>
          <w:p/>
        </w:tc>
        <w:tc>
          <w:p w14:paraId="78AC2E01" w14:textId="77777777">
            <w:pPr>
              <w:keepNext w:val="true"/>
              <w:spacing w:before="100" w:after="0"/>
              <w:rPr>
                <w:b/>
              </w:rPr>
            </w:pPr>
            <w:r>
              <w:rPr>
                <w:b/>
              </w:rPr>
              <w:t>What section of the Plan was addressed by Consultation?</w:t>
            </w:r>
          </w:p>
        </w:tc>
        <w:tc>
          <w:p>
            <w:pPr>
              <w:spacing w:before="100" w:after="0"/>
            </w:pPr>
            <w:r>
              <w:rPr>
                <w:rFonts w:ascii="Calibri" w:hAnsi="Calibri"/>
                <w:color w:val="000000"/>
                <w:sz w:val="22"/>
              </w:rPr>
              <w:t xml:space="preserve">Housing Need Assessment</w:t>
            </w:r>
            <w:r>
              <w:rPr>
                <w:rFonts w:ascii="Calibri" w:hAnsi="Calibri"/>
                <w:color w:val="000000"/>
                <w:sz w:val="22"/>
              </w:rPr>
              <w:br/>
              <w:t xml:space="preserve"/>
            </w:r>
            <w:r>
              <w:rPr>
                <w:rFonts w:ascii="Calibri" w:hAnsi="Calibri"/>
                <w:color w:val="000000"/>
                <w:sz w:val="22"/>
              </w:rPr>
              <w:t xml:space="preserve">Home Ownership Assistance</w:t>
            </w:r>
          </w:p>
        </w:tc>
      </w:tr>
      <w:tr>
        <w:trPr>
          <w:cantSplit w:val="true"/>
        </w:trPr>
        <w:tc>
          <w:tcPr>
            <w:vMerge/>
          </w:tcPr>
          <w:p/>
        </w:tc>
        <w:tc>
          <w:p w14:paraId="006DDF7E" w14:textId="77777777">
            <w:pPr>
              <w:keepNext w:val="true"/>
              <w:spacing w:before="100" w:after="0"/>
              <w:rPr>
                <w:b/>
              </w:rPr>
            </w:pPr>
            <w:r>
              <w:rPr>
                <w:b/>
              </w:rPr>
              <w:t>Briefly describe how the Agency/Group/Organization was consulted. What are the anticipated outcomes of the consultation or areas for improved coordination?</w:t>
            </w:r>
          </w:p>
        </w:tc>
        <w:tc>
          <w:p>
            <w:pPr>
              <w:spacing w:before="100" w:after="0"/>
            </w:pPr>
            <w:r>
              <w:rPr>
                <w:rFonts w:ascii="Calibri" w:hAnsi="Calibri"/>
                <w:color w:val="000000"/>
                <w:sz w:val="22"/>
              </w:rPr>
              <w:t xml:space="preserve">The City partners with NCALL to administer housing counseling services for first-time homebuyers participating in the Homeownership Assistance Program. Consultation with this organization helps ensure that eligible households are prepared for homeownership and supports the CityÃ¿Â¢Ã¿Â¿Ã¿Â¿s efforts to expand access to affordable housing opportunities.</w:t>
            </w:r>
          </w:p>
        </w:tc>
      </w:tr>
      <w:tr>
        <w:trPr>
          <w:cantSplit w:val="true"/>
        </w:trPr>
        <w:tc>
          <w:tcPr>
            <w:vMerge w:val="restart"/>
          </w:tcPr>
          <w:p>
            <w:pPr>
              <w:keepNext w:val="true"/>
              <w:spacing w:before="100" w:after="0"/>
            </w:pPr>
            <w:r>
              <w:rPr>
                <w:rFonts w:ascii="Calibri" w:hAnsi="Calibri"/>
                <w:color w:val="000000"/>
                <w:sz w:val="22"/>
              </w:rPr>
              <w:t xml:space="preserve">3</w:t>
            </w:r>
          </w:p>
        </w:tc>
        <w:tc>
          <w:p w14:paraId="075BB4AD" w14:textId="77777777">
            <w:pPr>
              <w:keepNext w:val="true"/>
              <w:spacing w:before="100" w:after="0"/>
              <w:rPr>
                <w:b/>
              </w:rPr>
            </w:pPr>
            <w:r>
              <w:rPr>
                <w:b/>
              </w:rPr>
              <w:t>Agency/Group/Organization</w:t>
            </w:r>
          </w:p>
        </w:tc>
        <w:tc>
          <w:p>
            <w:pPr>
              <w:spacing w:before="100" w:after="0"/>
            </w:pPr>
            <w:r>
              <w:rPr>
                <w:rFonts w:ascii="Calibri" w:hAnsi="Calibri"/>
                <w:color w:val="000000"/>
                <w:sz w:val="22"/>
              </w:rPr>
              <w:t xml:space="preserve">DELAWARE STATE HOUSING AUTHORITY</w:t>
            </w:r>
          </w:p>
        </w:tc>
      </w:tr>
      <w:tr>
        <w:trPr>
          <w:cantSplit w:val="true"/>
        </w:trPr>
        <w:tc>
          <w:tcPr>
            <w:vMerge/>
          </w:tcPr>
          <w:p/>
        </w:tc>
        <w:tc>
          <w:p w14:paraId="642EF64F" w14:textId="77777777">
            <w:pPr>
              <w:keepNext w:val="true"/>
              <w:spacing w:before="100" w:after="0"/>
              <w:rPr>
                <w:b/>
              </w:rPr>
            </w:pPr>
            <w:r>
              <w:rPr>
                <w:b/>
              </w:rPr>
              <w:t>Agency/Group/Organization Type</w:t>
            </w:r>
          </w:p>
        </w:tc>
        <w:tc>
          <w:p>
            <w:pPr>
              <w:spacing w:before="100" w:after="0"/>
            </w:pPr>
            <w:r>
              <w:rPr>
                <w:rFonts w:ascii="Calibri" w:hAnsi="Calibri"/>
                <w:color w:val="000000"/>
                <w:sz w:val="22"/>
              </w:rPr>
              <w:t xml:space="preserve">PHA</w:t>
            </w:r>
            <w:r>
              <w:rPr>
                <w:rFonts w:ascii="Calibri" w:hAnsi="Calibri"/>
                <w:color w:val="000000"/>
                <w:sz w:val="22"/>
              </w:rPr>
              <w:br/>
              <w:t xml:space="preserve"/>
            </w:r>
            <w:r>
              <w:rPr>
                <w:rFonts w:ascii="Calibri" w:hAnsi="Calibri"/>
                <w:color w:val="000000"/>
                <w:sz w:val="22"/>
              </w:rPr>
              <w:t xml:space="preserve">Other government - State</w:t>
            </w:r>
          </w:p>
        </w:tc>
      </w:tr>
      <w:tr>
        <w:trPr>
          <w:cantSplit w:val="true"/>
        </w:trPr>
        <w:tc>
          <w:tcPr>
            <w:vMerge/>
          </w:tcPr>
          <w:p/>
        </w:tc>
        <w:tc>
          <w:p w14:paraId="78AC2E01" w14:textId="77777777">
            <w:pPr>
              <w:keepNext w:val="true"/>
              <w:spacing w:before="100" w:after="0"/>
              <w:rPr>
                <w:b/>
              </w:rPr>
            </w:pPr>
            <w:r>
              <w:rPr>
                <w:b/>
              </w:rPr>
              <w:t>What section of the Plan was addressed by Consultation?</w:t>
            </w:r>
          </w:p>
        </w:tc>
        <w:tc>
          <w:p>
            <w:pPr>
              <w:spacing w:before="100" w:after="0"/>
            </w:pPr>
            <w:r>
              <w:rPr>
                <w:rFonts w:ascii="Calibri" w:hAnsi="Calibri"/>
                <w:color w:val="000000"/>
                <w:sz w:val="22"/>
              </w:rPr>
              <w:t xml:space="preserve">Housing Need Assessment</w:t>
            </w:r>
            <w:r>
              <w:rPr>
                <w:rFonts w:ascii="Calibri" w:hAnsi="Calibri"/>
                <w:color w:val="000000"/>
                <w:sz w:val="22"/>
              </w:rPr>
              <w:br/>
              <w:t xml:space="preserve"/>
            </w:r>
            <w:r>
              <w:rPr>
                <w:rFonts w:ascii="Calibri" w:hAnsi="Calibri"/>
                <w:color w:val="000000"/>
                <w:sz w:val="22"/>
              </w:rPr>
              <w:t xml:space="preserve">Public Housing Needs</w:t>
            </w:r>
          </w:p>
        </w:tc>
      </w:tr>
      <w:tr>
        <w:trPr>
          <w:cantSplit w:val="true"/>
        </w:trPr>
        <w:tc>
          <w:tcPr>
            <w:vMerge/>
          </w:tcPr>
          <w:p/>
        </w:tc>
        <w:tc>
          <w:p w14:paraId="006DDF7E" w14:textId="77777777">
            <w:pPr>
              <w:keepNext w:val="true"/>
              <w:spacing w:before="100" w:after="0"/>
              <w:rPr>
                <w:b/>
              </w:rPr>
            </w:pPr>
            <w:r>
              <w:rPr>
                <w:b/>
              </w:rPr>
              <w:t>Briefly describe how the Agency/Group/Organization was consulted. What are the anticipated outcomes of the consultation or areas for improved coordination?</w:t>
            </w:r>
          </w:p>
        </w:tc>
        <w:tc>
          <w:p>
            <w:pPr>
              <w:spacing w:before="100" w:after="0"/>
            </w:pPr>
            <w:r>
              <w:rPr>
                <w:rFonts w:ascii="Calibri" w:hAnsi="Calibri"/>
                <w:color w:val="000000"/>
                <w:sz w:val="22"/>
              </w:rPr>
              <w:t xml:space="preserve">The City consults with the Delaware State Housing Authority to assess affordable housing needs, including rental housing demand and housing assistance programs. Information from DSHA helps inform planning decisions related to housing priorities and supports coordination of resources to address housing affordability challenges within the City.</w:t>
            </w:r>
          </w:p>
        </w:tc>
      </w:tr>
    </w:tbl>
    <w:p w14:paraId="2A3ABD4D" w14:textId="77777777"/>
    <w:p w14:paraId="2A7CF3F0" w14:textId="77777777">
      <w:pPr>
        <w:rPr>
          <w:b/>
          <w:sz w:val="24"/>
          <w:szCs w:val="24"/>
        </w:rPr>
      </w:pPr>
      <w:r>
        <w:rPr>
          <w:b/>
          <w:sz w:val="24"/>
          <w:szCs w:val="24"/>
        </w:rPr>
        <w:t>Identify any Agency Types not consulted and provide rationale for not consulting</w:t>
      </w:r>
    </w:p>
    <w:p>
      <w:pPr>
        <w:spacing w:beforeAutospacing="true" w:afterAutospacing="true"/>
        <w:rPr>
          <w:rFonts w:cs="Arial"/>
        </w:rPr>
      </w:pPr>
      <w:r>
        <w:rPr>
          <w:rFonts w:cs="Arial"/>
        </w:rPr>
        <w:t xml:space="preserve">The City of Dover made a good-faith effort to consult with a broad range of agencies and organizations involved in housing, homelessness, and community development activities. Outreach efforts included public notices, direct communication with local and state agencies, and engagement with nonprofit service providers.</w:t>
      </w:r>
    </w:p>
    <w:p>
      <w:pPr>
        <w:spacing w:beforeAutospacing="true" w:afterAutospacing="true"/>
        <w:rPr>
          <w:rFonts w:cs="Arial"/>
        </w:rPr>
      </w:pPr>
      <w:r>
        <w:rPr>
          <w:rFonts w:cs="Arial"/>
        </w:rPr>
        <w:t xml:space="preserve">Due to the City’s size and the limited number of agencies operating within the jurisdiction, not all potential agency types were represented during the consultation process. However, many of the organizations consulted provide overlapping services and represent the needs of multiple populations, including low- and moderate-income residents, persons experiencing homelessness, and individuals with special needs.</w:t>
      </w:r>
    </w:p>
    <w:p>
      <w:pPr>
        <w:spacing w:beforeAutospacing="true" w:afterAutospacing="true"/>
        <w:rPr>
          <w:rFonts w:cs="Arial"/>
        </w:rPr>
      </w:pPr>
      <w:r>
        <w:rPr>
          <w:rFonts w:cs="Arial"/>
        </w:rPr>
        <w:t xml:space="preserve">The City will continue to expand outreach efforts and strengthen coordination with additional partners as opportunities arise to further support the goals and priorities identified in the Consolidated Plan.</w:t>
      </w:r>
    </w:p>
    <w:p w14:paraId="2057D87D" w14:textId="77777777">
      <w:pPr>
        <w:rPr>
          <w:rFonts w:cs="Arial"/>
        </w:rPr>
      </w:pPr>
    </w:p>
    <w:p w14:paraId="6518F858" w14:textId="77777777">
      <w:pPr>
        <w:keepNext/>
        <w:rPr>
          <w:b/>
          <w:sz w:val="24"/>
          <w:szCs w:val="24"/>
        </w:rPr>
      </w:pPr>
      <w:r>
        <w:rPr>
          <w:b/>
          <w:sz w:val="24"/>
          <w:szCs w:val="24"/>
        </w:rPr>
        <w:t>Other local/regional/state/federal planning efforts considered when preparing the Plan</w:t>
      </w:r>
    </w:p>
    <w:tbl>
      <w:tblPr>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4392"/>
        <w:gridCol w:w="4392"/>
        <w:gridCol w:w="4392"/>
      </w:tblGrid>
      <w:tr w14:paraId="4CD227FF" w14:textId="77777777">
        <w:trPr>
          <w:cantSplit/>
          <w:tblHeader/>
        </w:trPr>
        <w:tc>
          <w:tcPr>
            <w:tcW w:w="3192" w:type="dxa"/>
          </w:tcPr>
          <w:p w14:paraId="09FC2602" w14:textId="77777777">
            <w:pPr>
              <w:keepNext/>
              <w:widowControl w:val="false"/>
              <w:spacing w:after="0" w:line="240" w:lineRule="auto"/>
              <w:jc w:val="center"/>
              <w:rPr>
                <w:b/>
                <w:bCs/>
              </w:rPr>
            </w:pPr>
            <w:r>
              <w:rPr>
                <w:b/>
                <w:bCs/>
              </w:rPr>
              <w:t>Name of Plan</w:t>
            </w:r>
          </w:p>
        </w:tc>
        <w:tc>
          <w:tcPr>
            <w:tcW w:w="3192" w:type="dxa"/>
          </w:tcPr>
          <w:p w14:paraId="294ACCA1" w14:textId="77777777">
            <w:pPr>
              <w:spacing w:after="0" w:line="240" w:lineRule="auto"/>
              <w:jc w:val="center"/>
              <w:rPr>
                <w:b/>
                <w:bCs/>
              </w:rPr>
            </w:pPr>
            <w:r>
              <w:rPr>
                <w:b/>
                <w:bCs/>
              </w:rPr>
              <w:t>Lead Organization</w:t>
            </w:r>
          </w:p>
        </w:tc>
        <w:tc>
          <w:tcPr>
            <w:tcW w:w="3192" w:type="dxa"/>
          </w:tcPr>
          <w:p w14:paraId="35991547" w14:textId="77777777">
            <w:pPr>
              <w:keepNext/>
              <w:widowControl w:val="false"/>
              <w:spacing w:after="0" w:line="240" w:lineRule="auto"/>
              <w:jc w:val="center"/>
              <w:rPr>
                <w:b/>
                <w:bCs/>
              </w:rPr>
            </w:pPr>
            <w:r>
              <w:rPr>
                <w:b/>
                <w:bCs/>
              </w:rPr>
              <w:t>How do the goals of your Strategic Plan overlap with the goals of each plan?</w:t>
            </w:r>
          </w:p>
        </w:tc>
      </w:tr>
      <w:tr>
        <w:trPr>
          <w:cantSplit w:val="true"/>
        </w:trPr>
        <w:tc>
          <w:tcPr>
            <w:vAlign w:val="center"/>
          </w:tcPr>
          <w:p>
            <w:pPr>
              <w:spacing w:beforeAutospacing="true" w:afterAutospacing="true"/>
              <w:jc w:val="left"/>
            </w:pPr>
            <w:r>
              <w:rPr>
                <w:rFonts w:ascii="Calibri" w:hAnsi="Calibri"/>
                <w:color w:val="000000"/>
                <w:sz w:val="22"/>
              </w:rPr>
              <w:t xml:space="preserve">Continuum of Care</w:t>
            </w:r>
          </w:p>
        </w:tc>
        <w:tc>
          <w:tcPr>
            <w:vAlign w:val="center"/>
          </w:tcPr>
          <w:p>
            <w:pPr>
              <w:spacing w:beforeAutospacing="true" w:afterAutospacing="true"/>
              <w:jc w:val="left"/>
            </w:pPr>
            <w:r>
              <w:rPr>
                <w:rFonts w:ascii="Calibri" w:hAnsi="Calibri"/>
                <w:color w:val="000000"/>
                <w:sz w:val="22"/>
              </w:rPr>
              <w:t xml:space="preserve">Housing Alliance Delaware</w:t>
            </w:r>
          </w:p>
        </w:tc>
        <w:tc>
          <w:tcPr>
            <w:vAlign w:val="center"/>
          </w:tcPr>
          <w:p>
            <w:pPr>
              <w:spacing w:beforeAutospacing="true" w:afterAutospacing="true"/>
              <w:jc w:val="left"/>
            </w:pPr>
            <w:r>
              <w:rPr>
                <w:rFonts w:ascii="Calibri" w:hAnsi="Calibri"/>
                <w:color w:val="000000"/>
                <w:sz w:val="22"/>
              </w:rPr>
              <w:t xml:space="preserve">The City of Dover prioritizes funding for homeless services and housing stability activities that align with the goals and priorities identified by the Continuum of Care. Coordination with the CoC supports efforts to reduce homelessness and improve access to housing and supportive services.</w:t>
            </w:r>
          </w:p>
        </w:tc>
      </w:tr>
    </w:tbl>
    <w:p w14:paraId="684AFDF4" w14:textId="77777777">
      <w:pPr>
        <w:pStyle w:val="Caption"/>
        <w:jc w:val="center"/>
        <w:rPr>
          <w:rFonts w:asciiTheme="minorHAnsi" w:hAnsiTheme="minorHAnsi"/>
        </w:rPr>
      </w:pPr>
      <w:r>
        <w:rPr>
          <w:rFonts w:asciiTheme="minorHAnsi" w:hAnsiTheme="minorHAnsi"/>
        </w:rPr>
        <w:t xml:space="preserve">Table </w:t>
        <w:fldChar w:fldCharType="begin"/>
        <w:instrText xml:space="preserve"> SEQ Table \* ARABIC </w:instrText>
        <w:fldChar w:fldCharType="separate"/>
        <w:t>3</w:t>
        <w:fldChar w:fldCharType="end"/>
        <w:t xml:space="preserve"> – Other local / regional / federal planning efforts</w:t>
      </w:r>
    </w:p>
    <w:p w14:paraId="1FFD56EE" w14:textId="77777777"/>
    <w:p w14:paraId="54FCACDF" w14:textId="77777777">
      <w:pPr>
        <w:rPr>
          <w:b/>
          <w:sz w:val="24"/>
          <w:szCs w:val="24"/>
        </w:rPr>
      </w:pPr>
      <w:r>
        <w:rPr>
          <w:b/>
          <w:sz w:val="24"/>
          <w:szCs w:val="24"/>
        </w:rPr>
        <w:t>Narrative (optional)</w:t>
      </w:r>
    </w:p>
    <w:p w14:paraId="7C80BAA1" w14:textId="77777777">
      <w:pPr>
        <w:rPr>
          <w:rFonts w:cs="Arial"/>
        </w:rPr>
      </w:pPr>
      <w:r>
        <w:rPr>
          <w:rFonts w:cs="Arial"/>
        </w:rPr>
      </w:r>
    </w:p>
    <w:p w14:paraId="7184A799" w14:textId="77777777">
      <w:pPr>
        <w:rPr>
          <w:rFonts w:cs="Arial"/>
        </w:rPr>
        <w:sectPr>
          <w:pgSz w:w="15840" w:h="12240" w:orient="landscape"/>
          <w:pgMar w:top="1440" w:right="1440" w:bottom="1440" w:left="1440" w:header="720" w:footer="720" w:gutter="0"/>
          <w:cols w:space="720"/>
          <w:docGrid w:linePitch="360"/>
        </w:sectPr>
      </w:pPr>
    </w:p>
    <w:p w14:paraId="091E9531" w14:textId="77777777">
      <w:pPr>
        <w:pStyle w:val="Heading2"/>
        <w:keepNext w:val="false"/>
        <w:pageBreakBefore/>
        <w:widowControl w:val="false"/>
        <w:rPr>
          <w:rFonts w:ascii="Calibri" w:hAnsi="Calibri"/>
          <w:i w:val="false"/>
        </w:rPr>
      </w:pPr>
      <w:r>
        <w:rPr>
          <w:rFonts w:ascii="Calibri" w:hAnsi="Calibri"/>
          <w:i w:val="false"/>
        </w:rPr>
        <w:t>AP-12 Participation – 91.105, 91.200(c)</w:t>
      </w:r>
    </w:p>
    <w:p w14:paraId="754E2EF9" w14:textId="77777777">
      <w:pPr>
        <w:spacing w:after="0" w:line="240" w:lineRule="auto"/>
        <w:rPr>
          <w:b/>
          <w:sz w:val="24"/>
          <w:szCs w:val="24"/>
        </w:rPr>
      </w:pPr>
      <w:r>
        <w:rPr>
          <w:b/>
          <w:sz w:val="24"/>
          <w:szCs w:val="24"/>
        </w:rPr>
        <w:t>1.</w:t>
        <w:tab/>
        <w:t>Summary of citizen participation process/Efforts made to broaden citizen participation</w:t>
      </w:r>
    </w:p>
    <w:p w14:paraId="536CECCF" w14:textId="77777777">
      <w:pPr>
        <w:spacing w:after="0" w:line="240" w:lineRule="auto"/>
        <w:rPr>
          <w:b/>
          <w:sz w:val="24"/>
          <w:szCs w:val="24"/>
        </w:rPr>
      </w:pPr>
      <w:r>
        <w:rPr>
          <w:b/>
          <w:sz w:val="24"/>
          <w:szCs w:val="24"/>
        </w:rPr>
        <w:t>Summarize citizen participation process and how it impacted goal-setting</w:t>
      </w:r>
    </w:p>
    <w:p w14:paraId="14C59FD6" w14:textId="77777777">
      <w:pPr>
        <w:spacing w:after="0" w:line="240" w:lineRule="auto"/>
        <w:rPr>
          <w:b/>
          <w:sz w:val="24"/>
          <w:szCs w:val="24"/>
        </w:rPr>
      </w:pPr>
    </w:p>
    <w:p>
      <w:pPr>
        <w:spacing w:beforeAutospacing="true" w:afterAutospacing="true"/>
        <w:rPr>
          <w:rFonts w:cs="Arial"/>
        </w:rPr>
      </w:pPr>
      <w:r>
        <w:rPr>
          <w:rFonts w:cs="Arial"/>
        </w:rPr>
        <w:t xml:space="preserve">The City of Dover followed its adopted Citizen Participation Plan to ensure that residents, particularly low- and moderate-income persons, had meaningful opportunities to participate in the development of the Annual Action Plan.</w:t>
      </w:r>
    </w:p>
    <w:p>
      <w:pPr>
        <w:spacing w:beforeAutospacing="true" w:afterAutospacing="true"/>
        <w:rPr>
          <w:rFonts w:cs="Arial"/>
        </w:rPr>
      </w:pPr>
      <w:r>
        <w:rPr>
          <w:rFonts w:cs="Arial"/>
        </w:rPr>
        <w:t xml:space="preserve">Two public hearings were held on April 15, 2026, and April 24, 2026; however, no attendees were present. Comments were received during the public comment period via email. The draft plan was made available for a 30-day public comment period. Public notices were published in local media, posted on the City’s website, and shared through community partners and social media. The City will continue to evaluate opportunities to expand outreach methods to better reach underserved populations.</w:t>
      </w:r>
    </w:p>
    <w:p>
      <w:pPr>
        <w:spacing w:beforeAutospacing="true" w:afterAutospacing="true"/>
        <w:rPr>
          <w:rFonts w:cs="Arial"/>
        </w:rPr>
      </w:pPr>
      <w:r>
        <w:rPr>
          <w:rFonts w:cs="Arial"/>
        </w:rPr>
        <w:t xml:space="preserve">The City also consulted with housing providers, social service agencies, and community organizations to identify priority needs, including housing affordability, homelessness services, and housing rehabilitation.</w:t>
      </w:r>
    </w:p>
    <w:p>
      <w:pPr>
        <w:spacing w:beforeAutospacing="true" w:afterAutospacing="true"/>
        <w:rPr>
          <w:rFonts w:cs="Arial"/>
        </w:rPr>
      </w:pPr>
      <w:r>
        <w:rPr>
          <w:rFonts w:cs="Arial"/>
        </w:rPr>
        <w:t xml:space="preserve">Public input received during the participation process informed funding priorities and program design. All comments received were reviewed and considered in the preparation of the final plan.</w:t>
      </w:r>
    </w:p>
    <w:p w14:paraId="788222BA" w14:textId="77777777">
      <w:pPr>
        <w:rPr>
          <w:rFonts w:cs="Arial"/>
        </w:rPr>
      </w:pPr>
    </w:p>
    <w:p w14:paraId="337B1FD9" w14:textId="77777777">
      <w:pPr>
        <w:keepNext/>
        <w:rPr>
          <w:b/>
          <w:sz w:val="24"/>
          <w:szCs w:val="24"/>
        </w:rPr>
      </w:pPr>
      <w:r>
        <w:rPr>
          <w:b/>
          <w:sz w:val="24"/>
          <w:szCs w:val="24"/>
        </w:rPr>
        <w:t>Citizen Participation Outreach</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Look w:firstRow="1" w:lastRow="1" w:firstColumn="1" w:lastColumn="1" w:noHBand="0" w:noVBand="0" w:val="01E0"/>
      </w:tblPr>
      <w:tblGrid>
        <w:gridCol w:w="1232"/>
        <w:gridCol w:w="1908"/>
        <w:gridCol w:w="1956"/>
        <w:gridCol w:w="2192"/>
        <w:gridCol w:w="2020"/>
        <w:gridCol w:w="2350"/>
        <w:gridCol w:w="1532"/>
      </w:tblGrid>
      <w:tr w14:paraId="0977CC95" w14:textId="77777777">
        <w:trPr>
          <w:cantSplit/>
          <w:tblHeader/>
        </w:trPr>
        <w:tc>
          <w:tcPr>
            <w:tcW w:w="540" w:type="pct"/>
            <w:tcBorders>
              <w:top w:val="single" w:color="auto" w:sz="4" w:space="0"/>
              <w:left w:val="single" w:color="auto" w:sz="4" w:space="0"/>
              <w:bottom w:val="single" w:color="auto" w:sz="4" w:space="0"/>
              <w:right w:val="single" w:color="auto" w:sz="4" w:space="0"/>
            </w:tcBorders>
            <w:hideMark/>
          </w:tcPr>
          <w:p w14:paraId="15819F6D" w14:textId="77777777">
            <w:pPr>
              <w:keepNext/>
              <w:spacing w:after="0" w:line="240" w:lineRule="auto"/>
              <w:jc w:val="center"/>
              <w:rPr>
                <w:b/>
                <w:bCs/>
              </w:rPr>
            </w:pPr>
            <w:r>
              <w:rPr>
                <w:b/>
                <w:bCs/>
              </w:rPr>
              <w:t>Sort Order</w:t>
            </w:r>
          </w:p>
        </w:tc>
        <w:tc>
          <w:tcPr>
            <w:tcW w:w="540" w:type="pct"/>
            <w:tcBorders>
              <w:top w:val="single" w:color="auto" w:sz="4" w:space="0"/>
              <w:left w:val="single" w:color="auto" w:sz="4" w:space="0"/>
              <w:bottom w:val="single" w:color="auto" w:sz="4" w:space="0"/>
              <w:right w:val="single" w:color="auto" w:sz="4" w:space="0"/>
            </w:tcBorders>
            <w:hideMark/>
          </w:tcPr>
          <w:p w14:paraId="28CDD90A" w14:textId="77777777">
            <w:pPr>
              <w:keepNext/>
              <w:spacing w:after="0" w:line="240" w:lineRule="auto"/>
              <w:jc w:val="center"/>
              <w:rPr>
                <w:b/>
              </w:rPr>
            </w:pPr>
            <w:r>
              <w:rPr>
                <w:b/>
                <w:bCs/>
              </w:rPr>
              <w:t>Mode of Outreach</w:t>
            </w:r>
          </w:p>
        </w:tc>
        <w:tc>
          <w:tcPr>
            <w:tcW w:w="783" w:type="pct"/>
            <w:tcBorders>
              <w:top w:val="single" w:color="auto" w:sz="4" w:space="0"/>
              <w:left w:val="single" w:color="auto" w:sz="4" w:space="0"/>
              <w:bottom w:val="single" w:color="auto" w:sz="4" w:space="0"/>
              <w:right w:val="single" w:color="auto" w:sz="4" w:space="0"/>
            </w:tcBorders>
            <w:hideMark/>
          </w:tcPr>
          <w:p w14:paraId="7C0C1033" w14:textId="77777777">
            <w:pPr>
              <w:keepNext/>
              <w:spacing w:after="0" w:line="240" w:lineRule="auto"/>
              <w:jc w:val="center"/>
              <w:rPr>
                <w:b/>
              </w:rPr>
            </w:pPr>
            <w:r>
              <w:rPr>
                <w:b/>
                <w:bCs/>
              </w:rPr>
              <w:t>Target of Outreach</w:t>
            </w:r>
          </w:p>
        </w:tc>
        <w:tc>
          <w:tcPr>
            <w:tcW w:w="831" w:type="pct"/>
            <w:tcBorders>
              <w:top w:val="single" w:color="auto" w:sz="4" w:space="0"/>
              <w:left w:val="single" w:color="auto" w:sz="4" w:space="0"/>
              <w:bottom w:val="single" w:color="auto" w:sz="4" w:space="0"/>
              <w:right w:val="single" w:color="auto" w:sz="4" w:space="0"/>
            </w:tcBorders>
            <w:hideMark/>
          </w:tcPr>
          <w:p w14:paraId="75D65DE0" w14:textId="77777777">
            <w:pPr>
              <w:keepNext/>
              <w:spacing w:after="0" w:line="240" w:lineRule="auto"/>
              <w:jc w:val="center"/>
              <w:rPr>
                <w:b/>
                <w:bCs/>
              </w:rPr>
            </w:pPr>
            <w:r>
              <w:rPr>
                <w:b/>
                <w:bCs/>
              </w:rPr>
              <w:t>Summary of </w:t>
            </w:r>
          </w:p>
          <w:p w14:paraId="3BDC4333" w14:textId="77777777">
            <w:pPr>
              <w:keepNext/>
              <w:spacing w:after="0" w:line="240" w:lineRule="auto"/>
              <w:jc w:val="center"/>
              <w:rPr>
                <w:b/>
              </w:rPr>
            </w:pPr>
            <w:r>
              <w:rPr>
                <w:b/>
                <w:bCs/>
              </w:rPr>
              <w:t>response/attendance</w:t>
            </w:r>
          </w:p>
        </w:tc>
        <w:tc>
          <w:tcPr>
            <w:tcW w:w="783" w:type="pct"/>
            <w:tcBorders>
              <w:top w:val="single" w:color="auto" w:sz="4" w:space="0"/>
              <w:left w:val="single" w:color="auto" w:sz="4" w:space="0"/>
              <w:bottom w:val="single" w:color="auto" w:sz="4" w:space="0"/>
              <w:right w:val="single" w:color="auto" w:sz="4" w:space="0"/>
            </w:tcBorders>
            <w:hideMark/>
          </w:tcPr>
          <w:p w14:paraId="0C0AD9DE" w14:textId="77777777">
            <w:pPr>
              <w:keepNext/>
              <w:spacing w:after="0" w:line="240" w:lineRule="auto"/>
              <w:jc w:val="center"/>
              <w:rPr>
                <w:b/>
                <w:bCs/>
              </w:rPr>
            </w:pPr>
            <w:r>
              <w:rPr>
                <w:b/>
                <w:bCs/>
              </w:rPr>
              <w:t>Summary of </w:t>
            </w:r>
          </w:p>
          <w:p w14:paraId="1754C110" w14:textId="77777777">
            <w:pPr>
              <w:keepNext/>
              <w:spacing w:after="0" w:line="240" w:lineRule="auto"/>
              <w:jc w:val="center"/>
              <w:rPr>
                <w:b/>
              </w:rPr>
            </w:pPr>
            <w:r>
              <w:rPr>
                <w:b/>
                <w:bCs/>
              </w:rPr>
              <w:t>comments received</w:t>
            </w:r>
          </w:p>
        </w:tc>
        <w:tc>
          <w:tcPr>
            <w:tcW w:w="783" w:type="pct"/>
            <w:tcBorders>
              <w:top w:val="single" w:color="auto" w:sz="4" w:space="0"/>
              <w:left w:val="single" w:color="auto" w:sz="4" w:space="0"/>
              <w:bottom w:val="single" w:color="auto" w:sz="4" w:space="0"/>
              <w:right w:val="single" w:color="auto" w:sz="4" w:space="0"/>
            </w:tcBorders>
            <w:hideMark/>
          </w:tcPr>
          <w:p w14:paraId="297F4B1F" w14:textId="77777777">
            <w:pPr>
              <w:keepNext/>
              <w:spacing w:after="0" w:line="240" w:lineRule="auto"/>
              <w:jc w:val="center"/>
              <w:rPr>
                <w:b/>
              </w:rPr>
            </w:pPr>
            <w:r>
              <w:rPr>
                <w:b/>
                <w:bCs/>
              </w:rPr>
              <w:t>Summary of comments not accepted and reasons</w:t>
            </w:r>
          </w:p>
        </w:tc>
        <w:tc>
          <w:tcPr>
            <w:tcW w:w="740" w:type="pct"/>
            <w:tcBorders>
              <w:top w:val="single" w:color="auto" w:sz="4" w:space="0"/>
              <w:left w:val="single" w:color="auto" w:sz="4" w:space="0"/>
              <w:bottom w:val="single" w:color="auto" w:sz="4" w:space="0"/>
              <w:right w:val="single" w:color="auto" w:sz="4" w:space="0"/>
            </w:tcBorders>
            <w:hideMark/>
          </w:tcPr>
          <w:p w14:paraId="1371A29B" w14:textId="77777777">
            <w:pPr>
              <w:keepNext/>
              <w:spacing w:after="0" w:line="240" w:lineRule="auto"/>
              <w:jc w:val="center"/>
              <w:rPr>
                <w:b/>
              </w:rPr>
            </w:pPr>
            <w:r>
              <w:rPr>
                <w:b/>
                <w:bCs/>
              </w:rPr>
              <w:t>URL (If applicable)</w:t>
            </w:r>
          </w:p>
        </w:tc>
      </w:tr>
      <w:tr>
        <w:trPr>
          <w:cantSplit w:val="true"/>
        </w:trPr>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1</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Public Meeting</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Non-targeted/broad community</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Two public hearings were held; no attendees were present at either hearing.</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No comments were received at the hearings; comments were received during the public comment period via email.</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N/A</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 </w:t>
            </w:r>
          </w:p>
        </w:tc>
      </w:tr>
      <w:tr>
        <w:trPr>
          <w:cantSplit w:val="true"/>
        </w:trPr>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2</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Newspaper Ad</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Non-targeted/broad community</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Public notices were published in the local newspaper to inform residents of hearings and plan availability</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No comments were received.</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N/A</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 </w:t>
            </w:r>
          </w:p>
        </w:tc>
      </w:tr>
      <w:tr>
        <w:trPr>
          <w:cantSplit w:val="true"/>
        </w:trPr>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3</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Internet Outreach</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Non-targeted/broad community</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Information was posted on the City's website and social media page to provide access to the draft plan and hearing notices.</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Comments were received via email, related to program eligibility, funding priorities, administrative costs, and outreach.</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See Executive Summary Sections 6-7 for details.</w:t>
            </w:r>
          </w:p>
        </w:tc>
        <w:tc>
          <w:tcPr>
            <w:tcBorders>
              <w:top w:val="single" w:color="auto" w:sz="4" w:space="0"/>
              <w:left w:val="single" w:color="auto" w:sz="4" w:space="0"/>
              <w:bottom w:val="single" w:color="auto" w:sz="4" w:space="0"/>
              <w:right w:val="single" w:color="auto" w:sz="4" w:space="0"/>
            </w:tcBorders>
            <w:vAlign w:val="center"/>
          </w:tcPr>
          <w:p>
            <w:pPr>
              <w:spacing w:beforeAutospacing="true" w:afterAutospacing="true"/>
              <w:jc w:val="left"/>
            </w:pPr>
            <w:r>
              <w:rPr>
                <w:rFonts w:ascii="Calibri" w:hAnsi="Calibri"/>
                <w:color w:val="000000"/>
                <w:sz w:val="22"/>
              </w:rPr>
              <w:t xml:space="preserve">https://www.cityofdover.gov/community-development</w:t>
            </w:r>
          </w:p>
        </w:tc>
      </w:tr>
    </w:tbl>
    <w:p w14:paraId="6A8ECC98" w14:textId="77777777">
      <w:pPr>
        <w:pStyle w:val="Caption"/>
        <w:jc w:val="center"/>
        <w:rPr>
          <w:rFonts w:asciiTheme="minorHAnsi" w:hAnsiTheme="minorHAnsi"/>
        </w:rPr>
      </w:pPr>
      <w:r>
        <w:rPr>
          <w:rFonts w:asciiTheme="minorHAnsi" w:hAnsiTheme="minorHAnsi"/>
        </w:rPr>
        <w:t xml:space="preserve">Table </w:t>
        <w:fldChar w:fldCharType="begin"/>
        <w:instrText xml:space="preserve"> SEQ Table \* ARABIC </w:instrText>
        <w:fldChar w:fldCharType="separate"/>
        <w:t>4</w:t>
        <w:fldChar w:fldCharType="end"/>
        <w:t xml:space="preserve"> – Citizen Participation Outreach</w:t>
      </w:r>
    </w:p>
    <w:p w14:paraId="3759B029" w14:textId="77777777">
      <w:pPr>
        <w:rPr>
          <w:rFonts w:cs="Arial"/>
        </w:rPr>
        <w:sectPr>
          <w:footerReference w:type="default" r:id="rId14"/>
          <w:pgSz w:w="15840" w:h="12240" w:orient="landscape" w:code="1"/>
          <w:pgMar w:top="1440" w:right="1440" w:bottom="1440" w:left="1440" w:header="720" w:footer="720" w:gutter="0"/>
          <w:cols w:space="720"/>
          <w:docGrid w:linePitch="360"/>
        </w:sectPr>
      </w:pPr>
    </w:p>
    <w:p w14:paraId="06C7F721" w14:textId="77777777">
      <w:pPr>
        <w:rPr>
          <w:rFonts w:cs="Arial"/>
        </w:rPr>
      </w:pPr>
    </w:p>
    <w:p w14:paraId="4060657C" w14:textId="77777777">
      <w:pPr>
        <w:pStyle w:val="Heading1"/>
        <w:ind w:firstLine="720"/>
        <w:jc w:val="center"/>
        <w:rPr>
          <w:rFonts w:ascii="Calibri" w:hAnsi="Calibri"/>
          <w:color w:val="auto"/>
          <w:sz w:val="32"/>
          <w:szCs w:val="32"/>
        </w:rPr>
      </w:pPr>
      <w:r>
        <w:rPr>
          <w:rFonts w:ascii="Calibri" w:hAnsi="Calibri"/>
          <w:color w:val="auto"/>
          <w:sz w:val="32"/>
          <w:szCs w:val="32"/>
        </w:rPr>
        <w:t xml:space="preserve">Expected Resources </w:t>
      </w:r>
    </w:p>
    <w:p w14:paraId="4D221E3D" w14:textId="77777777">
      <w:pPr>
        <w:pStyle w:val="Heading2"/>
        <w:rPr>
          <w:rFonts w:ascii="Calibri" w:hAnsi="Calibri"/>
          <w:i w:val="false"/>
        </w:rPr>
      </w:pPr>
      <w:r>
        <w:rPr>
          <w:rFonts w:ascii="Calibri" w:hAnsi="Calibri"/>
          <w:i w:val="false"/>
        </w:rPr>
        <w:t>AP-15 Expected Resources – 91.220(c)(1,2)</w:t>
      </w:r>
    </w:p>
    <w:p w14:paraId="30EEDBFC" w14:textId="77777777">
      <w:pPr>
        <w:keepNext/>
        <w:widowControl w:val="false"/>
        <w:spacing w:line="204" w:lineRule="auto"/>
        <w:rPr>
          <w:b/>
          <w:sz w:val="28"/>
          <w:szCs w:val="28"/>
        </w:rPr>
      </w:pPr>
      <w:r>
        <w:rPr>
          <w:b/>
          <w:sz w:val="24"/>
          <w:szCs w:val="24"/>
        </w:rPr>
        <w:t>Introduction</w:t>
      </w:r>
    </w:p>
    <w:p>
      <w:pPr>
        <w:keepNext/>
        <w:widowControl w:val="false"/>
        <w:spacing w:beforeAutospacing="true" w:afterAutospacing="true"/>
        <w:rPr>
          <w:b/>
          <w:sz w:val="24"/>
          <w:szCs w:val="24"/>
        </w:rPr>
      </w:pPr>
      <w:r>
        <w:rPr/>
        <w:t xml:space="preserve">The City of Dover receives Community Development Block Grant (CDBG) funding from the U.S. Department of Housing and Urban Development (HUD) to support housing and community development activities that benefit low- and moderate-income residents.</w:t>
      </w:r>
    </w:p>
    <w:p>
      <w:pPr>
        <w:keepNext/>
        <w:widowControl w:val="false"/>
        <w:spacing w:beforeAutospacing="true" w:afterAutospacing="true"/>
        <w:rPr>
          <w:b/>
          <w:sz w:val="24"/>
          <w:szCs w:val="24"/>
        </w:rPr>
      </w:pPr>
      <w:r>
        <w:rPr/>
        <w:t xml:space="preserve">Given the limited availability of CDBG resources, the City prioritizes funding for activities that address the most critical needs identified in the Consolidated Plan, including housing preservation, homeownership assistance, and public service programs. The City also leverages partnerships with local nonprofit organizations, housing providers, and state agencies to maximize the impact of available funding.</w:t>
      </w:r>
    </w:p>
    <w:p w14:paraId="244B4E93" w14:textId="77777777">
      <w:pPr>
        <w:keepNext/>
        <w:widowControl w:val="false"/>
        <w:rPr>
          <w:b/>
          <w:sz w:val="24"/>
          <w:szCs w:val="24"/>
        </w:rPr>
      </w:pPr>
      <w:r>
        <w:rPr>
          <w:b/>
          <w:sz w:val="24"/>
          <w:szCs w:val="24"/>
        </w:rPr>
        <w:t>Anticipated Resources</w:t>
      </w:r>
    </w:p>
    <w:tbl>
      <w:tblPr>
        <w:tblW w:w="5000" w:type="pct"/>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1808"/>
        <w:gridCol w:w="827"/>
        <w:gridCol w:w="1953"/>
        <w:gridCol w:w="1215"/>
        <w:gridCol w:w="1271"/>
        <w:gridCol w:w="1271"/>
        <w:gridCol w:w="1090"/>
        <w:gridCol w:w="1271"/>
        <w:gridCol w:w="2470"/>
      </w:tblGrid>
      <w:tr w14:paraId="3535728D" w14:textId="77777777">
        <w:trPr>
          <w:cantSplit/>
          <w:tblHeader/>
        </w:trPr>
        <w:tc>
          <w:tcPr>
            <w:tcW w:w="1793" w:type="dxa"/>
            <w:vMerge w:val="restart"/>
          </w:tcPr>
          <w:p w14:paraId="781229E7" w14:textId="77777777">
            <w:pPr>
              <w:keepNext/>
              <w:widowControl w:val="false"/>
              <w:spacing w:after="0" w:line="240" w:lineRule="auto"/>
              <w:jc w:val="center"/>
              <w:rPr>
                <w:b/>
                <w:sz w:val="24"/>
                <w:szCs w:val="24"/>
              </w:rPr>
            </w:pPr>
            <w:r>
              <w:rPr>
                <w:b/>
                <w:sz w:val="20"/>
                <w:szCs w:val="20"/>
              </w:rPr>
              <w:t>Program</w:t>
            </w:r>
          </w:p>
        </w:tc>
        <w:tc>
          <w:tcPr>
            <w:tcW w:w="820" w:type="dxa"/>
            <w:vMerge w:val="restart"/>
          </w:tcPr>
          <w:p w14:paraId="6BDE6E37" w14:textId="77777777">
            <w:pPr>
              <w:keepNext/>
              <w:widowControl w:val="false"/>
              <w:spacing w:after="0" w:line="240" w:lineRule="auto"/>
              <w:jc w:val="center"/>
              <w:rPr>
                <w:b/>
                <w:sz w:val="24"/>
                <w:szCs w:val="24"/>
              </w:rPr>
            </w:pPr>
            <w:r>
              <w:rPr>
                <w:b/>
                <w:sz w:val="20"/>
                <w:szCs w:val="20"/>
              </w:rPr>
              <w:t>Source of Funds</w:t>
            </w:r>
          </w:p>
        </w:tc>
        <w:tc>
          <w:tcPr>
            <w:tcW w:w="1936" w:type="dxa"/>
            <w:vMerge w:val="restart"/>
          </w:tcPr>
          <w:p w14:paraId="4F371204" w14:textId="77777777">
            <w:pPr>
              <w:keepNext/>
              <w:widowControl w:val="false"/>
              <w:spacing w:after="0" w:line="240" w:lineRule="auto"/>
              <w:jc w:val="center"/>
              <w:rPr>
                <w:b/>
                <w:sz w:val="24"/>
                <w:szCs w:val="24"/>
              </w:rPr>
            </w:pPr>
            <w:r>
              <w:rPr>
                <w:b/>
                <w:sz w:val="20"/>
                <w:szCs w:val="20"/>
              </w:rPr>
              <w:t>Uses of Funds</w:t>
            </w:r>
          </w:p>
        </w:tc>
        <w:tc>
          <w:tcPr>
            <w:tcW w:w="4804" w:type="dxa"/>
            <w:gridSpan w:val="4"/>
          </w:tcPr>
          <w:p w14:paraId="0EBAFBCC" w14:textId="77777777">
            <w:pPr>
              <w:keepNext/>
              <w:widowControl w:val="false"/>
              <w:spacing w:after="0" w:line="240" w:lineRule="auto"/>
              <w:jc w:val="center"/>
              <w:rPr>
                <w:b/>
                <w:sz w:val="24"/>
                <w:szCs w:val="24"/>
              </w:rPr>
            </w:pPr>
            <w:r>
              <w:rPr>
                <w:b/>
                <w:bCs/>
                <w:sz w:val="20"/>
                <w:szCs w:val="20"/>
              </w:rPr>
              <w:t>Expected Amount Available Year 1</w:t>
            </w:r>
          </w:p>
        </w:tc>
        <w:tc>
          <w:tcPr>
            <w:tcW w:w="1260" w:type="dxa"/>
            <w:vMerge w:val="restart"/>
          </w:tcPr>
          <w:p w14:paraId="365A7A81" w14:textId="77777777">
            <w:pPr>
              <w:keepNext/>
              <w:widowControl w:val="false"/>
              <w:spacing w:after="0" w:line="240" w:lineRule="auto"/>
              <w:jc w:val="center"/>
              <w:rPr>
                <w:b/>
                <w:sz w:val="20"/>
                <w:szCs w:val="20"/>
              </w:rPr>
            </w:pPr>
            <w:r>
              <w:rPr>
                <w:b/>
                <w:sz w:val="20"/>
                <w:szCs w:val="20"/>
              </w:rPr>
              <w:t xml:space="preserve">Expected Amount Available Remainder of ConPlan </w:t>
            </w:r>
          </w:p>
          <w:p w14:paraId="481A85F2" w14:textId="77777777">
            <w:pPr>
              <w:keepNext/>
              <w:widowControl w:val="false"/>
              <w:spacing w:after="0" w:line="240" w:lineRule="auto"/>
              <w:jc w:val="center"/>
              <w:rPr>
                <w:b/>
                <w:sz w:val="24"/>
                <w:szCs w:val="24"/>
              </w:rPr>
            </w:pPr>
            <w:r>
              <w:rPr>
                <w:b/>
                <w:sz w:val="20"/>
                <w:szCs w:val="20"/>
              </w:rPr>
              <w:t>$</w:t>
            </w:r>
          </w:p>
        </w:tc>
        <w:tc>
          <w:tcPr>
            <w:tcW w:w="2448" w:type="dxa"/>
            <w:vMerge w:val="restart"/>
          </w:tcPr>
          <w:p w14:paraId="3C918203" w14:textId="77777777">
            <w:pPr>
              <w:keepNext/>
              <w:widowControl w:val="false"/>
              <w:spacing w:after="0" w:line="240" w:lineRule="auto"/>
              <w:jc w:val="center"/>
              <w:rPr>
                <w:b/>
                <w:sz w:val="24"/>
                <w:szCs w:val="24"/>
              </w:rPr>
            </w:pPr>
            <w:r>
              <w:rPr>
                <w:b/>
                <w:sz w:val="20"/>
                <w:szCs w:val="20"/>
              </w:rPr>
              <w:t>Narrative Description</w:t>
            </w:r>
          </w:p>
        </w:tc>
      </w:tr>
      <w:tr w14:paraId="4ADDB774" w14:textId="77777777">
        <w:trPr>
          <w:cantSplit/>
          <w:tblHeader/>
        </w:trPr>
        <w:tc>
          <w:tcPr>
            <w:tcW w:w="1793" w:type="dxa"/>
            <w:vMerge/>
          </w:tcPr>
          <w:p w14:paraId="5E784D4F" w14:textId="77777777">
            <w:pPr>
              <w:keepNext/>
              <w:widowControl w:val="false"/>
              <w:spacing w:after="0" w:line="240" w:lineRule="auto"/>
              <w:jc w:val="center"/>
              <w:rPr>
                <w:b/>
                <w:sz w:val="24"/>
                <w:szCs w:val="24"/>
              </w:rPr>
            </w:pPr>
          </w:p>
        </w:tc>
        <w:tc>
          <w:tcPr>
            <w:tcW w:w="820" w:type="dxa"/>
            <w:vMerge/>
          </w:tcPr>
          <w:p w14:paraId="483AB17B" w14:textId="77777777">
            <w:pPr>
              <w:keepNext/>
              <w:widowControl w:val="false"/>
              <w:spacing w:after="0" w:line="240" w:lineRule="auto"/>
              <w:jc w:val="center"/>
              <w:rPr>
                <w:b/>
                <w:sz w:val="24"/>
                <w:szCs w:val="24"/>
              </w:rPr>
            </w:pPr>
          </w:p>
        </w:tc>
        <w:tc>
          <w:tcPr>
            <w:tcW w:w="1936" w:type="dxa"/>
            <w:vMerge/>
          </w:tcPr>
          <w:p w14:paraId="0EB79719" w14:textId="77777777">
            <w:pPr>
              <w:keepNext/>
              <w:widowControl w:val="false"/>
              <w:spacing w:after="0" w:line="240" w:lineRule="auto"/>
              <w:jc w:val="center"/>
              <w:rPr>
                <w:b/>
                <w:sz w:val="24"/>
                <w:szCs w:val="24"/>
              </w:rPr>
            </w:pPr>
          </w:p>
        </w:tc>
        <w:tc>
          <w:tcPr>
            <w:tcW w:w="1204" w:type="dxa"/>
          </w:tcPr>
          <w:p w14:paraId="342C64A3" w14:textId="77777777">
            <w:pPr>
              <w:keepNext/>
              <w:widowControl w:val="false"/>
              <w:spacing w:after="0" w:line="240" w:lineRule="auto"/>
              <w:jc w:val="center"/>
              <w:rPr>
                <w:b/>
                <w:sz w:val="24"/>
                <w:szCs w:val="24"/>
              </w:rPr>
            </w:pPr>
            <w:r>
              <w:rPr>
                <w:b/>
                <w:sz w:val="20"/>
                <w:szCs w:val="20"/>
              </w:rPr>
              <w:t>Annual Allocation: $</w:t>
            </w:r>
          </w:p>
        </w:tc>
        <w:tc>
          <w:tcPr>
            <w:tcW w:w="1260" w:type="dxa"/>
          </w:tcPr>
          <w:p w14:paraId="261D90CA" w14:textId="77777777">
            <w:pPr>
              <w:keepNext/>
              <w:widowControl w:val="false"/>
              <w:spacing w:after="0" w:line="240" w:lineRule="auto"/>
              <w:jc w:val="center"/>
              <w:rPr>
                <w:b/>
                <w:sz w:val="24"/>
                <w:szCs w:val="24"/>
              </w:rPr>
            </w:pPr>
            <w:r>
              <w:rPr>
                <w:b/>
                <w:sz w:val="20"/>
                <w:szCs w:val="20"/>
              </w:rPr>
              <w:t>Program Income: $</w:t>
            </w:r>
          </w:p>
        </w:tc>
        <w:tc>
          <w:tcPr>
            <w:tcW w:w="1260" w:type="dxa"/>
          </w:tcPr>
          <w:p w14:paraId="57486B79" w14:textId="77777777">
            <w:pPr>
              <w:keepNext/>
              <w:widowControl w:val="false"/>
              <w:spacing w:after="0" w:line="240" w:lineRule="auto"/>
              <w:jc w:val="center"/>
              <w:rPr>
                <w:b/>
                <w:sz w:val="24"/>
                <w:szCs w:val="24"/>
              </w:rPr>
            </w:pPr>
            <w:r>
              <w:rPr>
                <w:b/>
                <w:sz w:val="20"/>
                <w:szCs w:val="20"/>
              </w:rPr>
              <w:t>Prior Year Resources: $</w:t>
            </w:r>
          </w:p>
        </w:tc>
        <w:tc>
          <w:tcPr>
            <w:tcW w:w="1080" w:type="dxa"/>
          </w:tcPr>
          <w:p w14:paraId="104FF5D9" w14:textId="77777777">
            <w:pPr>
              <w:keepNext/>
              <w:widowControl w:val="false"/>
              <w:spacing w:after="0" w:line="240" w:lineRule="auto"/>
              <w:jc w:val="center"/>
              <w:rPr>
                <w:b/>
                <w:sz w:val="20"/>
                <w:szCs w:val="20"/>
              </w:rPr>
            </w:pPr>
            <w:r>
              <w:rPr>
                <w:b/>
                <w:sz w:val="20"/>
                <w:szCs w:val="20"/>
              </w:rPr>
              <w:t>Total:</w:t>
            </w:r>
          </w:p>
          <w:p w14:paraId="66974718" w14:textId="77777777">
            <w:pPr>
              <w:keepNext/>
              <w:widowControl w:val="false"/>
              <w:spacing w:after="0" w:line="240" w:lineRule="auto"/>
              <w:jc w:val="center"/>
              <w:rPr>
                <w:b/>
                <w:sz w:val="24"/>
                <w:szCs w:val="24"/>
              </w:rPr>
            </w:pPr>
            <w:r>
              <w:rPr>
                <w:b/>
                <w:sz w:val="20"/>
                <w:szCs w:val="20"/>
              </w:rPr>
              <w:t>$</w:t>
            </w:r>
          </w:p>
        </w:tc>
        <w:tc>
          <w:tcPr>
            <w:tcW w:w="1260" w:type="dxa"/>
            <w:vMerge/>
          </w:tcPr>
          <w:p w14:paraId="548F4593" w14:textId="77777777">
            <w:pPr>
              <w:keepNext/>
              <w:widowControl w:val="false"/>
              <w:spacing w:after="0" w:line="240" w:lineRule="auto"/>
              <w:jc w:val="center"/>
              <w:rPr>
                <w:b/>
                <w:sz w:val="24"/>
                <w:szCs w:val="24"/>
              </w:rPr>
            </w:pPr>
          </w:p>
        </w:tc>
        <w:tc>
          <w:tcPr>
            <w:tcW w:w="2448" w:type="dxa"/>
            <w:vMerge/>
          </w:tcPr>
          <w:p w14:paraId="176CFAC9" w14:textId="77777777">
            <w:pPr>
              <w:keepNext/>
              <w:widowControl w:val="false"/>
              <w:spacing w:after="0" w:line="240" w:lineRule="auto"/>
              <w:jc w:val="center"/>
              <w:rPr>
                <w:b/>
                <w:sz w:val="24"/>
                <w:szCs w:val="24"/>
              </w:rPr>
            </w:pPr>
          </w:p>
        </w:tc>
      </w:tr>
      <w:tr>
        <w:trPr>
          <w:cantSplit w:val="true"/>
        </w:trPr>
        <w:tc>
          <w:tcPr>
            <w:vAlign w:val="top"/>
          </w:tcPr>
          <w:p>
            <w:pPr>
              <w:spacing w:beforeAutospacing="true" w:afterAutospacing="true"/>
              <w:jc w:val="left"/>
            </w:pPr>
            <w:r>
              <w:rPr>
                <w:rFonts w:ascii="Calibri" w:hAnsi="Calibri"/>
                <w:color w:val="000000"/>
                <w:sz w:val="22"/>
              </w:rPr>
              <w:t xml:space="preserve">CDBG</w:t>
            </w:r>
          </w:p>
        </w:tc>
        <w:tc>
          <w:tcPr>
            <w:vAlign w:val="top"/>
          </w:tcPr>
          <w:p>
            <w:pPr>
              <w:spacing w:beforeAutospacing="true" w:afterAutospacing="true"/>
              <w:jc w:val="left"/>
            </w:pPr>
            <w:r>
              <w:rPr>
                <w:rFonts w:ascii="Calibri" w:hAnsi="Calibri"/>
                <w:color w:val="000000"/>
                <w:sz w:val="22"/>
              </w:rPr>
              <w:t xml:space="preserve">public - federal</w:t>
            </w:r>
          </w:p>
        </w:tc>
        <w:tc>
          <w:tcPr>
            <w:vAlign w:val="top"/>
          </w:tcPr>
          <w:p>
            <w:pPr>
              <w:spacing w:beforeAutospacing="true" w:afterAutospacing="true"/>
              <w:jc w:val="left"/>
            </w:pPr>
            <w:r>
              <w:rPr>
                <w:rFonts w:ascii="Calibri" w:hAnsi="Calibri"/>
                <w:color w:val="000000"/>
                <w:sz w:val="22"/>
              </w:rPr>
              <w:t xml:space="preserve">Acquisition</w:t>
            </w:r>
            <w:r>
              <w:rPr>
                <w:rFonts w:ascii="Calibri" w:hAnsi="Calibri"/>
                <w:color w:val="000000"/>
                <w:sz w:val="22"/>
              </w:rPr>
              <w:br/>
              <w:t xml:space="preserve"/>
            </w:r>
            <w:r>
              <w:rPr>
                <w:rFonts w:ascii="Calibri" w:hAnsi="Calibri"/>
                <w:color w:val="000000"/>
                <w:sz w:val="22"/>
              </w:rPr>
              <w:t xml:space="preserve">Admin and Planning</w:t>
            </w:r>
            <w:r>
              <w:rPr>
                <w:rFonts w:ascii="Calibri" w:hAnsi="Calibri"/>
                <w:color w:val="000000"/>
                <w:sz w:val="22"/>
              </w:rPr>
              <w:br/>
              <w:t xml:space="preserve"/>
            </w:r>
            <w:r>
              <w:rPr>
                <w:rFonts w:ascii="Calibri" w:hAnsi="Calibri"/>
                <w:color w:val="000000"/>
                <w:sz w:val="22"/>
              </w:rPr>
              <w:t xml:space="preserve">Economic Development</w:t>
            </w:r>
            <w:r>
              <w:rPr>
                <w:rFonts w:ascii="Calibri" w:hAnsi="Calibri"/>
                <w:color w:val="000000"/>
                <w:sz w:val="22"/>
              </w:rPr>
              <w:br/>
              <w:t xml:space="preserve"/>
            </w:r>
            <w:r>
              <w:rPr>
                <w:rFonts w:ascii="Calibri" w:hAnsi="Calibri"/>
                <w:color w:val="000000"/>
                <w:sz w:val="22"/>
              </w:rPr>
              <w:t xml:space="preserve">Housing</w:t>
            </w:r>
            <w:r>
              <w:rPr>
                <w:rFonts w:ascii="Calibri" w:hAnsi="Calibri"/>
                <w:color w:val="000000"/>
                <w:sz w:val="22"/>
              </w:rPr>
              <w:br/>
              <w:t xml:space="preserve"/>
            </w:r>
            <w:r>
              <w:rPr>
                <w:rFonts w:ascii="Calibri" w:hAnsi="Calibri"/>
                <w:color w:val="000000"/>
                <w:sz w:val="22"/>
              </w:rPr>
              <w:t xml:space="preserve">Public Improvements</w:t>
            </w:r>
            <w:r>
              <w:rPr>
                <w:rFonts w:ascii="Calibri" w:hAnsi="Calibri"/>
                <w:color w:val="000000"/>
                <w:sz w:val="22"/>
              </w:rPr>
              <w:br/>
              <w:t xml:space="preserve"/>
            </w:r>
            <w:r>
              <w:rPr>
                <w:rFonts w:ascii="Calibri" w:hAnsi="Calibri"/>
                <w:color w:val="000000"/>
                <w:sz w:val="22"/>
              </w:rPr>
              <w:t xml:space="preserve">Public Services</w:t>
            </w:r>
          </w:p>
        </w:tc>
        <w:tc>
          <w:tcPr>
            <w:vAlign w:val="bottom"/>
          </w:tcPr>
          <w:p>
            <w:pPr>
              <w:spacing w:beforeAutospacing="true" w:afterAutospacing="true"/>
              <w:jc w:val="right"/>
            </w:pPr>
            <w:r>
              <w:rPr>
                <w:rFonts w:ascii="Calibri" w:hAnsi="Calibri"/>
                <w:color w:val="000000"/>
                <w:sz w:val="22"/>
              </w:rPr>
              <w:t xml:space="preserve">303,961.00</w:t>
            </w:r>
          </w:p>
        </w:tc>
        <w:tc>
          <w:tcPr>
            <w:vAlign w:val="bottom"/>
          </w:tcPr>
          <w:p>
            <w:pPr>
              <w:spacing w:beforeAutospacing="true" w:afterAutospacing="true"/>
              <w:jc w:val="right"/>
            </w:pPr>
            <w:r>
              <w:rPr>
                <w:rFonts w:ascii="Calibri" w:hAnsi="Calibri"/>
                <w:color w:val="000000"/>
                <w:sz w:val="22"/>
              </w:rPr>
              <w:t xml:space="preserve">0.00</w:t>
            </w:r>
          </w:p>
        </w:tc>
        <w:tc>
          <w:tcPr>
            <w:vAlign w:val="bottom"/>
          </w:tcPr>
          <w:p>
            <w:pPr>
              <w:spacing w:beforeAutospacing="true" w:afterAutospacing="true"/>
              <w:jc w:val="right"/>
            </w:pPr>
            <w:r>
              <w:rPr>
                <w:rFonts w:ascii="Calibri" w:hAnsi="Calibri"/>
                <w:color w:val="000000"/>
                <w:sz w:val="22"/>
              </w:rPr>
              <w:t xml:space="preserve">0.00</w:t>
            </w:r>
          </w:p>
        </w:tc>
        <w:tc>
          <w:tcPr>
            <w:vAlign w:val="bottom"/>
          </w:tcPr>
          <w:p>
            <w:pPr>
              <w:spacing w:beforeAutospacing="true" w:afterAutospacing="true"/>
              <w:jc w:val="right"/>
            </w:pPr>
            <w:r>
              <w:rPr>
                <w:rFonts w:ascii="Calibri" w:hAnsi="Calibri"/>
                <w:color w:val="000000"/>
                <w:sz w:val="22"/>
              </w:rPr>
              <w:t xml:space="preserve">303,961.00</w:t>
            </w:r>
          </w:p>
        </w:tc>
        <w:tc>
          <w:tcPr>
            <w:vAlign w:val="bottom"/>
          </w:tcPr>
          <w:p>
            <w:pPr>
              <w:spacing w:beforeAutospacing="true" w:afterAutospacing="true"/>
              <w:jc w:val="right"/>
            </w:pPr>
            <w:r>
              <w:rPr>
                <w:rFonts w:ascii="Calibri" w:hAnsi="Calibri"/>
                <w:color w:val="000000"/>
                <w:sz w:val="22"/>
              </w:rPr>
              <w:t xml:space="preserve">1,055,771.00</w:t>
            </w:r>
          </w:p>
        </w:tc>
        <w:tc>
          <w:tcPr>
            <w:vAlign w:val="top"/>
          </w:tcPr>
          <w:p>
            <w:pPr>
              <w:spacing w:beforeAutospacing="true" w:afterAutospacing="true"/>
              <w:jc w:val="left"/>
            </w:pPr>
            <w:r>
              <w:rPr>
                <w:rFonts w:ascii="Calibri" w:hAnsi="Calibri"/>
                <w:color w:val="000000"/>
                <w:sz w:val="22"/>
              </w:rPr>
              <w:t xml:space="preserve">Approximately 20 percent ($60,000) of the total allocation will be used for program administration including compliance, environmental review, financial management, and reporting. Public service activities will receive approximately 14.5 percent ($43,961) of the allocation, supporting programs that serve low- and moderate-income residents, including individuals experiencing homelessness. The remaining funds will be dedicated to housing-related activities, including homeownership assistance and housing rehabilitation programs.</w:t>
            </w:r>
          </w:p>
        </w:tc>
      </w:tr>
    </w:tbl>
    <w:p w14:paraId="154F865B" w14:textId="77777777">
      <w:pPr>
        <w:pStyle w:val="Caption"/>
        <w:jc w:val="center"/>
        <w:rPr>
          <w:rFonts w:asciiTheme="minorHAnsi" w:hAnsiTheme="minorHAnsi"/>
        </w:rPr>
      </w:pPr>
      <w:r>
        <w:rPr>
          <w:rFonts w:asciiTheme="minorHAnsi" w:hAnsiTheme="minorHAnsi"/>
        </w:rPr>
        <w:t xml:space="preserve">Table </w:t>
        <w:fldChar w:fldCharType="begin"/>
        <w:instrText xml:space="preserve"> SEQ Table \* ARABIC </w:instrText>
        <w:fldChar w:fldCharType="separate"/>
        <w:t>1</w:t>
        <w:fldChar w:fldCharType="end"/>
        <w:t xml:space="preserve"> - Expected Resources – Priority Table</w:t>
      </w:r>
    </w:p>
    <w:p w14:paraId="26E20E34" w14:textId="77777777">
      <w:pPr>
        <w:spacing w:after="0" w:line="240" w:lineRule="auto"/>
        <w:rPr>
          <w:b/>
          <w:sz w:val="24"/>
          <w:szCs w:val="24"/>
        </w:rPr>
      </w:pPr>
    </w:p>
    <w:p w14:paraId="49479CC2" w14:textId="77777777">
      <w:pPr>
        <w:widowControl w:val="false"/>
        <w:rPr>
          <w:b/>
          <w:sz w:val="24"/>
          <w:szCs w:val="24"/>
        </w:rPr>
      </w:pPr>
      <w:r>
        <w:rPr>
          <w:b/>
          <w:sz w:val="24"/>
          <w:szCs w:val="24"/>
        </w:rPr>
        <w:t>Explain how federal funds will leverage those additional resources (private, state and local funds), including a description of how matching requirements will be satisfied</w:t>
      </w:r>
    </w:p>
    <w:p>
      <w:pPr>
        <w:widowControl w:val="false"/>
        <w:spacing w:beforeAutospacing="true" w:afterAutospacing="true"/>
        <w:rPr>
          <w:szCs w:val="24"/>
        </w:rPr>
      </w:pPr>
      <w:r>
        <w:rPr/>
        <w:t xml:space="preserve">Although there is no matching requirement for CDBG funds, the City of Dover leverages additional resources through partnerships with nonprofit organizations and housing providers. Subrecipients such as Milford Housing Development Corporation, Central Delaware Housing Collaborative, and Habitat for Humanity utilize additional funding sources, including private and state funds, to expand the impact of CDBG-funded activities.</w:t>
      </w:r>
    </w:p>
    <w:p>
      <w:pPr>
        <w:widowControl w:val="false"/>
        <w:spacing w:beforeAutospacing="true" w:afterAutospacing="true"/>
        <w:rPr>
          <w:szCs w:val="24"/>
        </w:rPr>
      </w:pPr>
      <w:r>
        <w:rPr/>
        <w:t xml:space="preserve">These partnerships enable the City to address housing rehabilitation, homeownership, and supportive service needs more effectively while maximizing the use of limited federal resources. The City further supports housing development through local incentives, including tax abatements and fee waivers, which complement federal funding sources.</w:t>
      </w:r>
    </w:p>
    <w:p w14:paraId="7E81C46E" w14:textId="77777777">
      <w:pPr>
        <w:keepNext/>
        <w:widowControl w:val="false"/>
        <w:rPr>
          <w:b/>
          <w:sz w:val="24"/>
          <w:szCs w:val="24"/>
        </w:rPr>
        <w:sectPr>
          <w:pgSz w:w="15840" w:h="12240" w:orient="landscape" w:code="1"/>
          <w:pgMar w:top="1440" w:right="1440" w:bottom="1440" w:left="1440" w:header="720" w:footer="720" w:gutter="0"/>
          <w:cols w:space="720"/>
          <w:docGrid w:linePitch="360"/>
        </w:sectPr>
      </w:pPr>
    </w:p>
    <w:p w14:paraId="5359A825" w14:textId="77777777">
      <w:pPr>
        <w:keepNext/>
        <w:widowControl w:val="false"/>
        <w:rPr>
          <w:b/>
          <w:sz w:val="24"/>
          <w:szCs w:val="24"/>
        </w:rPr>
      </w:pPr>
      <w:r>
        <w:rPr>
          <w:b/>
          <w:sz w:val="24"/>
          <w:szCs w:val="24"/>
        </w:rPr>
        <w:t>If appropriate, describe publically owned land or property located within the jurisdiction that may be used to address the needs identified in the plan</w:t>
      </w:r>
    </w:p>
    <w:p>
      <w:pPr>
        <w:keepNext/>
        <w:widowControl w:val="false"/>
        <w:spacing w:beforeAutospacing="true" w:afterAutospacing="true"/>
        <w:rPr>
          <w:szCs w:val="24"/>
        </w:rPr>
      </w:pPr>
      <w:r>
        <w:rPr/>
        <w:t xml:space="preserve">The City of Dover supports the use of publicly owned and strategically acquired properties to address affordable housing needs. Through partnerships with organizations such as Habitat for Humanity and NeighborGood Partners, available properties may be utilized for the development or rehabilitation of affordable housing, particularly within targeted neighborhoods.</w:t>
      </w:r>
    </w:p>
    <w:p w14:paraId="28369D8D" w14:textId="77777777">
      <w:pPr>
        <w:keepNext/>
        <w:widowControl w:val="false"/>
        <w:spacing w:line="204" w:lineRule="auto"/>
        <w:rPr>
          <w:b/>
          <w:sz w:val="24"/>
          <w:szCs w:val="24"/>
        </w:rPr>
      </w:pPr>
      <w:r>
        <w:rPr>
          <w:b/>
          <w:sz w:val="24"/>
          <w:szCs w:val="24"/>
        </w:rPr>
        <w:t>Discussion</w:t>
      </w:r>
    </w:p>
    <w:p>
      <w:pPr>
        <w:keepNext/>
        <w:widowControl w:val="false"/>
        <w:spacing w:beforeAutospacing="true" w:afterAutospacing="true"/>
        <w:rPr>
          <w:b/>
          <w:sz w:val="24"/>
          <w:szCs w:val="24"/>
        </w:rPr>
      </w:pPr>
      <w:r>
        <w:rPr/>
        <w:t xml:space="preserve">The City of Dover does not anticipate receiving any program income in PY 2026.</w:t>
      </w:r>
    </w:p>
    <w:p w14:paraId="07740282" w14:textId="77777777">
      <w:pPr>
        <w:pStyle w:val="Heading1"/>
        <w:pageBreakBefore/>
        <w:jc w:val="center"/>
        <w:rPr>
          <w:rFonts w:ascii="Calibri" w:hAnsi="Calibri"/>
          <w:color w:val="auto"/>
          <w:sz w:val="32"/>
          <w:szCs w:val="32"/>
        </w:rPr>
        <w:sectPr>
          <w:pgSz w:w="12240" w:h="15840" w:code="1"/>
          <w:pgMar w:top="1440" w:right="1440" w:bottom="1440" w:left="1440" w:header="720" w:footer="720" w:gutter="0"/>
          <w:cols w:space="720"/>
          <w:docGrid w:linePitch="360"/>
        </w:sectPr>
      </w:pPr>
    </w:p>
    <w:p w14:paraId="0890ECE7" w14:textId="77777777">
      <w:pPr>
        <w:pStyle w:val="Heading1"/>
        <w:pageBreakBefore/>
        <w:jc w:val="center"/>
        <w:rPr>
          <w:rFonts w:ascii="Calibri" w:hAnsi="Calibri"/>
          <w:color w:val="auto"/>
          <w:sz w:val="32"/>
          <w:szCs w:val="32"/>
        </w:rPr>
      </w:pPr>
      <w:r>
        <w:rPr>
          <w:rFonts w:ascii="Calibri" w:hAnsi="Calibri"/>
          <w:color w:val="auto"/>
          <w:sz w:val="32"/>
          <w:szCs w:val="32"/>
        </w:rPr>
        <w:t>Annual Goals and Objectives</w:t>
      </w:r>
    </w:p>
    <w:p w14:paraId="3ADD0BD2" w14:textId="77777777">
      <w:pPr>
        <w:rPr>
          <w:b/>
          <w:sz w:val="28"/>
          <w:szCs w:val="28"/>
        </w:rPr>
      </w:pPr>
    </w:p>
    <w:p w14:paraId="4D1B5014" w14:textId="77777777">
      <w:pPr>
        <w:rPr>
          <w:b/>
          <w:sz w:val="28"/>
          <w:szCs w:val="28"/>
        </w:rPr>
      </w:pPr>
      <w:r>
        <w:rPr>
          <w:b/>
          <w:sz w:val="28"/>
          <w:szCs w:val="28"/>
        </w:rPr>
        <w:t>AP-20 Annual Goals and Objectives</w:t>
      </w:r>
    </w:p>
    <w:p w14:paraId="2BDBF279" w14:textId="77777777">
      <w:pPr>
        <w:keepNext/>
        <w:widowControl w:val="false"/>
        <w:rPr>
          <w:b/>
          <w:sz w:val="24"/>
          <w:szCs w:val="24"/>
        </w:rPr>
      </w:pPr>
      <w:r>
        <w:rPr>
          <w:b/>
          <w:sz w:val="24"/>
          <w:szCs w:val="24"/>
        </w:rPr>
        <w:t>Goals Summary Information</w:t>
      </w:r>
    </w:p>
    <w:tbl>
      <w:tblPr>
        <w:tblW w:w="5342" w:type="pct"/>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1795"/>
        <w:gridCol w:w="1796"/>
        <w:gridCol w:w="620"/>
        <w:gridCol w:w="591"/>
        <w:gridCol w:w="1233"/>
        <w:gridCol w:w="1286"/>
        <w:gridCol w:w="1171"/>
        <w:gridCol w:w="2328"/>
        <w:gridCol w:w="3257"/>
      </w:tblGrid>
      <w:tr w14:paraId="626A754A" w14:textId="77777777">
        <w:trPr>
          <w:cantSplit/>
          <w:trHeight w:val="486"/>
          <w:tblHeader/>
        </w:trPr>
        <w:tc>
          <w:tcPr>
            <w:tcW w:w="1808" w:type="dxa"/>
          </w:tcPr>
          <w:p w14:paraId="2FF1D251" w14:textId="77777777">
            <w:pPr>
              <w:keepNext/>
              <w:widowControl w:val="false"/>
              <w:spacing w:after="0" w:line="240" w:lineRule="auto"/>
              <w:jc w:val="center"/>
              <w:rPr>
                <w:b/>
                <w:sz w:val="20"/>
                <w:szCs w:val="20"/>
              </w:rPr>
            </w:pPr>
            <w:r>
              <w:rPr>
                <w:b/>
                <w:sz w:val="20"/>
                <w:szCs w:val="20"/>
              </w:rPr>
              <w:t>Sort Order</w:t>
            </w:r>
          </w:p>
        </w:tc>
        <w:tc>
          <w:tcPr>
            <w:tcW w:w="1809" w:type="dxa"/>
          </w:tcPr>
          <w:p w14:paraId="6B1E3667" w14:textId="77777777">
            <w:pPr>
              <w:keepNext/>
              <w:widowControl w:val="false"/>
              <w:spacing w:after="0" w:line="240" w:lineRule="auto"/>
              <w:jc w:val="center"/>
              <w:rPr>
                <w:b/>
                <w:sz w:val="20"/>
                <w:szCs w:val="20"/>
              </w:rPr>
            </w:pPr>
            <w:r>
              <w:rPr>
                <w:b/>
                <w:sz w:val="20"/>
                <w:szCs w:val="20"/>
              </w:rPr>
              <w:t>Goal Name</w:t>
            </w:r>
          </w:p>
        </w:tc>
        <w:tc>
          <w:tcPr>
            <w:tcW w:w="582" w:type="dxa"/>
          </w:tcPr>
          <w:p w14:paraId="011A0A7A" w14:textId="77777777">
            <w:pPr>
              <w:keepNext/>
              <w:widowControl w:val="false"/>
              <w:spacing w:after="0" w:line="240" w:lineRule="auto"/>
              <w:jc w:val="center"/>
              <w:rPr>
                <w:b/>
                <w:sz w:val="20"/>
                <w:szCs w:val="20"/>
              </w:rPr>
            </w:pPr>
            <w:r>
              <w:rPr>
                <w:b/>
                <w:sz w:val="20"/>
                <w:szCs w:val="20"/>
              </w:rPr>
              <w:t>Start Year</w:t>
            </w:r>
          </w:p>
        </w:tc>
        <w:tc>
          <w:tcPr>
            <w:tcW w:w="555" w:type="dxa"/>
          </w:tcPr>
          <w:p w14:paraId="5F10A3F0" w14:textId="77777777">
            <w:pPr>
              <w:keepNext/>
              <w:widowControl w:val="false"/>
              <w:spacing w:after="0" w:line="240" w:lineRule="auto"/>
              <w:jc w:val="center"/>
              <w:rPr>
                <w:b/>
                <w:sz w:val="20"/>
                <w:szCs w:val="20"/>
              </w:rPr>
            </w:pPr>
            <w:r>
              <w:rPr>
                <w:b/>
                <w:sz w:val="20"/>
                <w:szCs w:val="20"/>
              </w:rPr>
              <w:t>End Year</w:t>
            </w:r>
          </w:p>
        </w:tc>
        <w:tc>
          <w:tcPr>
            <w:tcW w:w="1236" w:type="dxa"/>
          </w:tcPr>
          <w:p w14:paraId="1C6E222E" w14:textId="77777777">
            <w:pPr>
              <w:keepNext/>
              <w:widowControl w:val="false"/>
              <w:spacing w:after="0" w:line="240" w:lineRule="auto"/>
              <w:jc w:val="center"/>
              <w:rPr>
                <w:b/>
                <w:sz w:val="20"/>
                <w:szCs w:val="20"/>
              </w:rPr>
            </w:pPr>
            <w:r>
              <w:rPr>
                <w:b/>
                <w:sz w:val="20"/>
                <w:szCs w:val="20"/>
              </w:rPr>
              <w:t>Category</w:t>
            </w:r>
          </w:p>
        </w:tc>
        <w:tc>
          <w:tcPr>
            <w:tcW w:w="1287" w:type="dxa"/>
          </w:tcPr>
          <w:p w14:paraId="4822048B" w14:textId="77777777">
            <w:pPr>
              <w:keepNext/>
              <w:widowControl w:val="false"/>
              <w:spacing w:after="0" w:line="240" w:lineRule="auto"/>
              <w:jc w:val="center"/>
              <w:rPr>
                <w:b/>
                <w:sz w:val="20"/>
                <w:szCs w:val="20"/>
              </w:rPr>
            </w:pPr>
            <w:r>
              <w:rPr>
                <w:b/>
                <w:sz w:val="20"/>
                <w:szCs w:val="20"/>
              </w:rPr>
              <w:t>Geographic Area</w:t>
            </w:r>
          </w:p>
        </w:tc>
        <w:tc>
          <w:tcPr>
            <w:tcW w:w="1172" w:type="dxa"/>
          </w:tcPr>
          <w:p w14:paraId="5C152D6C" w14:textId="77777777">
            <w:pPr>
              <w:keepNext/>
              <w:widowControl w:val="false"/>
              <w:spacing w:after="0" w:line="240" w:lineRule="auto"/>
              <w:jc w:val="center"/>
              <w:rPr>
                <w:b/>
                <w:sz w:val="20"/>
                <w:szCs w:val="20"/>
              </w:rPr>
            </w:pPr>
            <w:r>
              <w:rPr>
                <w:b/>
                <w:sz w:val="20"/>
                <w:szCs w:val="20"/>
              </w:rPr>
              <w:t>Needs Addressed</w:t>
            </w:r>
          </w:p>
        </w:tc>
        <w:tc>
          <w:tcPr>
            <w:tcW w:w="2345" w:type="dxa"/>
          </w:tcPr>
          <w:p w14:paraId="337C7BC6" w14:textId="77777777">
            <w:pPr>
              <w:keepNext/>
              <w:widowControl w:val="false"/>
              <w:spacing w:after="0" w:line="240" w:lineRule="auto"/>
              <w:jc w:val="center"/>
              <w:rPr>
                <w:b/>
                <w:sz w:val="20"/>
                <w:szCs w:val="20"/>
              </w:rPr>
            </w:pPr>
            <w:r>
              <w:rPr>
                <w:b/>
                <w:sz w:val="20"/>
                <w:szCs w:val="20"/>
              </w:rPr>
              <w:t>Funding</w:t>
            </w:r>
          </w:p>
        </w:tc>
        <w:tc>
          <w:tcPr>
            <w:tcW w:w="3283" w:type="dxa"/>
          </w:tcPr>
          <w:p w14:paraId="49A53837" w14:textId="77777777">
            <w:pPr>
              <w:keepNext/>
              <w:widowControl w:val="false"/>
              <w:spacing w:after="0" w:line="240" w:lineRule="auto"/>
              <w:jc w:val="center"/>
              <w:rPr>
                <w:b/>
                <w:sz w:val="20"/>
                <w:szCs w:val="20"/>
              </w:rPr>
            </w:pPr>
            <w:r>
              <w:rPr>
                <w:b/>
                <w:sz w:val="20"/>
                <w:szCs w:val="20"/>
              </w:rPr>
              <w:t>Goal Outcome Indicator</w:t>
            </w:r>
          </w:p>
        </w:tc>
      </w:tr>
      <w:tr>
        <w:trPr>
          <w:cantSplit w:val="true"/>
        </w:trPr>
        <w:tc>
          <w:tcPr>
            <w:vAlign w:val="top"/>
          </w:tcPr>
          <w:p>
            <w:pPr>
              <w:spacing w:beforeAutospacing="true" w:afterAutospacing="true"/>
              <w:jc w:val="left"/>
            </w:pPr>
            <w:r>
              <w:rPr>
                <w:rFonts w:ascii="Calibri" w:hAnsi="Calibri"/>
                <w:b/>
                <w:color w:val="000000"/>
                <w:sz w:val="22"/>
              </w:rPr>
              <w:t xml:space="preserve">1</w:t>
            </w:r>
          </w:p>
        </w:tc>
        <w:tc>
          <w:tcPr>
            <w:vAlign w:val="top"/>
          </w:tcPr>
          <w:p>
            <w:pPr>
              <w:spacing w:beforeAutospacing="true" w:afterAutospacing="true"/>
              <w:jc w:val="left"/>
            </w:pPr>
            <w:r>
              <w:rPr>
                <w:rFonts w:ascii="Calibri" w:hAnsi="Calibri"/>
                <w:color w:val="000000"/>
                <w:sz w:val="22"/>
              </w:rPr>
              <w:t xml:space="preserve">AH-1 Affordable Housing</w:t>
            </w:r>
          </w:p>
        </w:tc>
        <w:tc>
          <w:tcPr>
            <w:vAlign w:val="top"/>
          </w:tcPr>
          <w:p>
            <w:pPr>
              <w:spacing w:beforeAutospacing="true" w:afterAutospacing="true"/>
              <w:jc w:val="right"/>
            </w:pPr>
            <w:r>
              <w:rPr>
                <w:rFonts w:ascii="Calibri" w:hAnsi="Calibri"/>
                <w:color w:val="000000"/>
                <w:sz w:val="22"/>
              </w:rPr>
              <w:t xml:space="preserve">2025</w:t>
            </w:r>
          </w:p>
        </w:tc>
        <w:tc>
          <w:tcPr>
            <w:vAlign w:val="top"/>
          </w:tcPr>
          <w:p>
            <w:pPr>
              <w:spacing w:beforeAutospacing="true" w:afterAutospacing="true"/>
              <w:jc w:val="right"/>
            </w:pPr>
            <w:r>
              <w:rPr>
                <w:rFonts w:ascii="Calibri" w:hAnsi="Calibri"/>
                <w:color w:val="000000"/>
                <w:sz w:val="22"/>
              </w:rPr>
              <w:t xml:space="preserve">2029</w:t>
            </w:r>
          </w:p>
        </w:tc>
        <w:tc>
          <w:tcPr>
            <w:vAlign w:val="top"/>
          </w:tcPr>
          <w:p>
            <w:pPr>
              <w:spacing w:beforeAutospacing="true" w:afterAutospacing="true"/>
              <w:jc w:val="left"/>
            </w:pPr>
            <w:r>
              <w:rPr>
                <w:rFonts w:ascii="Calibri" w:hAnsi="Calibri"/>
                <w:color w:val="000000"/>
                <w:sz w:val="22"/>
              </w:rPr>
              <w:t xml:space="preserve">Affordable Housing</w:t>
            </w:r>
          </w:p>
        </w:tc>
        <w:tc>
          <w:tcPr>
            <w:vAlign w:val="top"/>
          </w:tcPr>
          <w:p>
            <w:pPr>
              <w:spacing w:beforeAutospacing="true" w:afterAutospacing="true"/>
              <w:jc w:val="left"/>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c>
          <w:tcPr>
            <w:vAlign w:val="top"/>
          </w:tcPr>
          <w:p>
            <w:pPr>
              <w:spacing w:beforeAutospacing="true" w:afterAutospacing="true"/>
              <w:jc w:val="left"/>
            </w:pPr>
            <w:r>
              <w:rPr>
                <w:rFonts w:ascii="Calibri" w:hAnsi="Calibri"/>
                <w:color w:val="000000"/>
                <w:sz w:val="22"/>
              </w:rPr>
              <w:t xml:space="preserve">Homeownership Assistance</w:t>
            </w:r>
          </w:p>
        </w:tc>
        <w:tc>
          <w:tcPr>
            <w:vAlign w:val="top"/>
          </w:tcPr>
          <w:p>
            <w:pPr>
              <w:spacing w:beforeAutospacing="true" w:afterAutospacing="true"/>
              <w:jc w:val="right"/>
            </w:pPr>
            <w:r>
              <w:rPr>
                <w:rFonts w:ascii="Calibri" w:hAnsi="Calibri"/>
                <w:color w:val="000000"/>
                <w:sz w:val="22"/>
              </w:rPr>
              <w:t xml:space="preserve">CDBG: $80,000.00</w:t>
            </w:r>
          </w:p>
        </w:tc>
        <w:tc>
          <w:tcPr>
            <w:vAlign w:val="top"/>
          </w:tcPr>
          <w:p>
            <w:pPr>
              <w:spacing w:beforeAutospacing="true" w:afterAutospacing="true"/>
              <w:jc w:val="left"/>
            </w:pPr>
            <w:r>
              <w:rPr>
                <w:rFonts w:ascii="Calibri" w:hAnsi="Calibri"/>
                <w:color w:val="000000"/>
                <w:sz w:val="22"/>
              </w:rPr>
              <w:t xml:space="preserve">Direct Financial Assistance to Homebuyers: 4 Households Assisted</w:t>
            </w:r>
          </w:p>
        </w:tc>
      </w:tr>
      <w:tr>
        <w:trPr>
          <w:cantSplit w:val="true"/>
        </w:trPr>
        <w:tc>
          <w:tcPr>
            <w:vAlign w:val="top"/>
          </w:tcPr>
          <w:p>
            <w:pPr>
              <w:spacing w:beforeAutospacing="true" w:afterAutospacing="true"/>
              <w:jc w:val="left"/>
            </w:pPr>
            <w:r>
              <w:rPr>
                <w:rFonts w:ascii="Calibri" w:hAnsi="Calibri"/>
                <w:b/>
                <w:color w:val="000000"/>
                <w:sz w:val="22"/>
              </w:rPr>
              <w:t xml:space="preserve">2</w:t>
            </w:r>
          </w:p>
        </w:tc>
        <w:tc>
          <w:tcPr>
            <w:vAlign w:val="top"/>
          </w:tcPr>
          <w:p>
            <w:pPr>
              <w:spacing w:beforeAutospacing="true" w:afterAutospacing="true"/>
              <w:jc w:val="left"/>
            </w:pPr>
            <w:r>
              <w:rPr>
                <w:rFonts w:ascii="Calibri" w:hAnsi="Calibri"/>
                <w:color w:val="000000"/>
                <w:sz w:val="22"/>
              </w:rPr>
              <w:t xml:space="preserve">AH=2 Affordable Housing</w:t>
            </w:r>
          </w:p>
        </w:tc>
        <w:tc>
          <w:tcPr>
            <w:vAlign w:val="top"/>
          </w:tcPr>
          <w:p>
            <w:pPr>
              <w:spacing w:beforeAutospacing="true" w:afterAutospacing="true"/>
              <w:jc w:val="right"/>
            </w:pPr>
            <w:r>
              <w:rPr>
                <w:rFonts w:ascii="Calibri" w:hAnsi="Calibri"/>
                <w:color w:val="000000"/>
                <w:sz w:val="22"/>
              </w:rPr>
              <w:t xml:space="preserve">2025</w:t>
            </w:r>
          </w:p>
        </w:tc>
        <w:tc>
          <w:tcPr>
            <w:vAlign w:val="top"/>
          </w:tcPr>
          <w:p>
            <w:pPr>
              <w:spacing w:beforeAutospacing="true" w:afterAutospacing="true"/>
              <w:jc w:val="right"/>
            </w:pPr>
            <w:r>
              <w:rPr>
                <w:rFonts w:ascii="Calibri" w:hAnsi="Calibri"/>
                <w:color w:val="000000"/>
                <w:sz w:val="22"/>
              </w:rPr>
              <w:t xml:space="preserve">2029</w:t>
            </w:r>
          </w:p>
        </w:tc>
        <w:tc>
          <w:tcPr>
            <w:vAlign w:val="top"/>
          </w:tcPr>
          <w:p>
            <w:pPr>
              <w:spacing w:beforeAutospacing="true" w:afterAutospacing="true"/>
              <w:jc w:val="left"/>
            </w:pPr>
            <w:r>
              <w:rPr>
                <w:rFonts w:ascii="Calibri" w:hAnsi="Calibri"/>
                <w:color w:val="000000"/>
                <w:sz w:val="22"/>
              </w:rPr>
              <w:t xml:space="preserve">Affordable Housing</w:t>
            </w:r>
          </w:p>
        </w:tc>
        <w:tc>
          <w:tcPr>
            <w:vAlign w:val="top"/>
          </w:tcPr>
          <w:p>
            <w:pPr>
              <w:spacing w:beforeAutospacing="true" w:afterAutospacing="true"/>
              <w:jc w:val="left"/>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c>
          <w:tcPr>
            <w:vAlign w:val="top"/>
          </w:tcPr>
          <w:p>
            <w:pPr>
              <w:spacing w:beforeAutospacing="true" w:afterAutospacing="true"/>
              <w:jc w:val="left"/>
            </w:pPr>
            <w:r>
              <w:rPr>
                <w:rFonts w:ascii="Calibri" w:hAnsi="Calibri"/>
                <w:color w:val="000000"/>
                <w:sz w:val="22"/>
              </w:rPr>
              <w:t xml:space="preserve">Homeowner Rehabilitation</w:t>
            </w:r>
          </w:p>
        </w:tc>
        <w:tc>
          <w:tcPr>
            <w:vAlign w:val="top"/>
          </w:tcPr>
          <w:p>
            <w:pPr>
              <w:spacing w:beforeAutospacing="true" w:afterAutospacing="true"/>
              <w:jc w:val="right"/>
            </w:pPr>
            <w:r>
              <w:rPr>
                <w:rFonts w:ascii="Calibri" w:hAnsi="Calibri"/>
                <w:color w:val="000000"/>
                <w:sz w:val="22"/>
              </w:rPr>
              <w:t xml:space="preserve">CDBG: $55,000.00</w:t>
            </w:r>
          </w:p>
        </w:tc>
        <w:tc>
          <w:tcPr>
            <w:vAlign w:val="top"/>
          </w:tcPr>
          <w:p>
            <w:pPr>
              <w:spacing w:beforeAutospacing="true" w:afterAutospacing="true"/>
              <w:jc w:val="left"/>
            </w:pPr>
            <w:r>
              <w:rPr>
                <w:rFonts w:ascii="Calibri" w:hAnsi="Calibri"/>
                <w:color w:val="000000"/>
                <w:sz w:val="22"/>
              </w:rPr>
              <w:t xml:space="preserve">Homeowner Housing Rehabilitated: 3 Household Housing Unit</w:t>
            </w:r>
          </w:p>
        </w:tc>
      </w:tr>
      <w:tr>
        <w:trPr>
          <w:cantSplit w:val="true"/>
        </w:trPr>
        <w:tc>
          <w:tcPr>
            <w:vAlign w:val="top"/>
          </w:tcPr>
          <w:p>
            <w:pPr>
              <w:spacing w:beforeAutospacing="true" w:afterAutospacing="true"/>
              <w:jc w:val="left"/>
            </w:pPr>
            <w:r>
              <w:rPr>
                <w:rFonts w:ascii="Calibri" w:hAnsi="Calibri"/>
                <w:b/>
                <w:color w:val="000000"/>
                <w:sz w:val="22"/>
              </w:rPr>
              <w:t xml:space="preserve">3</w:t>
            </w:r>
          </w:p>
        </w:tc>
        <w:tc>
          <w:tcPr>
            <w:vAlign w:val="top"/>
          </w:tcPr>
          <w:p>
            <w:pPr>
              <w:spacing w:beforeAutospacing="true" w:afterAutospacing="true"/>
              <w:jc w:val="left"/>
            </w:pPr>
            <w:r>
              <w:rPr>
                <w:rFonts w:ascii="Calibri" w:hAnsi="Calibri"/>
                <w:color w:val="000000"/>
                <w:sz w:val="22"/>
              </w:rPr>
              <w:t xml:space="preserve">AH-3 Affordable Housing</w:t>
            </w:r>
          </w:p>
        </w:tc>
        <w:tc>
          <w:tcPr>
            <w:vAlign w:val="top"/>
          </w:tcPr>
          <w:p>
            <w:pPr>
              <w:spacing w:beforeAutospacing="true" w:afterAutospacing="true"/>
              <w:jc w:val="right"/>
            </w:pPr>
            <w:r>
              <w:rPr>
                <w:rFonts w:ascii="Calibri" w:hAnsi="Calibri"/>
                <w:color w:val="000000"/>
                <w:sz w:val="22"/>
              </w:rPr>
              <w:t xml:space="preserve">2025</w:t>
            </w:r>
          </w:p>
        </w:tc>
        <w:tc>
          <w:tcPr>
            <w:vAlign w:val="top"/>
          </w:tcPr>
          <w:p>
            <w:pPr>
              <w:spacing w:beforeAutospacing="true" w:afterAutospacing="true"/>
              <w:jc w:val="right"/>
            </w:pPr>
            <w:r>
              <w:rPr>
                <w:rFonts w:ascii="Calibri" w:hAnsi="Calibri"/>
                <w:color w:val="000000"/>
                <w:sz w:val="22"/>
              </w:rPr>
              <w:t xml:space="preserve">2029</w:t>
            </w:r>
          </w:p>
        </w:tc>
        <w:tc>
          <w:tcPr>
            <w:vAlign w:val="top"/>
          </w:tcPr>
          <w:p>
            <w:pPr>
              <w:spacing w:beforeAutospacing="true" w:afterAutospacing="true"/>
              <w:jc w:val="left"/>
            </w:pPr>
            <w:r>
              <w:rPr>
                <w:rFonts w:ascii="Calibri" w:hAnsi="Calibri"/>
                <w:color w:val="000000"/>
                <w:sz w:val="22"/>
              </w:rPr>
              <w:t xml:space="preserve">Affordable Housing</w:t>
            </w:r>
          </w:p>
        </w:tc>
        <w:tc>
          <w:tcPr>
            <w:vAlign w:val="top"/>
          </w:tcPr>
          <w:p>
            <w:pPr>
              <w:spacing w:beforeAutospacing="true" w:afterAutospacing="true"/>
              <w:jc w:val="left"/>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c>
          <w:tcPr>
            <w:vAlign w:val="top"/>
          </w:tcPr>
          <w:p>
            <w:pPr>
              <w:spacing w:beforeAutospacing="true" w:afterAutospacing="true"/>
              <w:jc w:val="left"/>
            </w:pPr>
            <w:r>
              <w:rPr>
                <w:rFonts w:ascii="Calibri" w:hAnsi="Calibri"/>
                <w:color w:val="000000"/>
                <w:sz w:val="22"/>
              </w:rPr>
              <w:t xml:space="preserve">Homeowner Rehabilitation</w:t>
            </w:r>
          </w:p>
        </w:tc>
        <w:tc>
          <w:tcPr>
            <w:vAlign w:val="top"/>
          </w:tcPr>
          <w:p>
            <w:pPr>
              <w:spacing w:beforeAutospacing="true" w:afterAutospacing="true"/>
              <w:jc w:val="right"/>
            </w:pPr>
            <w:r>
              <w:rPr>
                <w:rFonts w:ascii="Calibri" w:hAnsi="Calibri"/>
                <w:color w:val="000000"/>
                <w:sz w:val="22"/>
              </w:rPr>
              <w:t xml:space="preserve">CDBG: $40,000.00</w:t>
            </w:r>
          </w:p>
        </w:tc>
        <w:tc>
          <w:tcPr>
            <w:vAlign w:val="top"/>
          </w:tcPr>
          <w:p>
            <w:pPr>
              <w:spacing w:beforeAutospacing="true" w:afterAutospacing="true"/>
              <w:jc w:val="left"/>
            </w:pPr>
            <w:r>
              <w:rPr>
                <w:rFonts w:ascii="Calibri" w:hAnsi="Calibri"/>
                <w:color w:val="000000"/>
                <w:sz w:val="22"/>
              </w:rPr>
              <w:t xml:space="preserve">Homeowner Housing Rehabilitated: 6 Household Housing Unit</w:t>
            </w:r>
          </w:p>
        </w:tc>
      </w:tr>
      <w:tr>
        <w:trPr>
          <w:cantSplit w:val="true"/>
        </w:trPr>
        <w:tc>
          <w:tcPr>
            <w:vAlign w:val="top"/>
          </w:tcPr>
          <w:p>
            <w:pPr>
              <w:spacing w:beforeAutospacing="true" w:afterAutospacing="true"/>
              <w:jc w:val="left"/>
            </w:pPr>
            <w:r>
              <w:rPr>
                <w:rFonts w:ascii="Calibri" w:hAnsi="Calibri"/>
                <w:b/>
                <w:color w:val="000000"/>
                <w:sz w:val="22"/>
              </w:rPr>
              <w:t xml:space="preserve">4</w:t>
            </w:r>
          </w:p>
        </w:tc>
        <w:tc>
          <w:tcPr>
            <w:vAlign w:val="top"/>
          </w:tcPr>
          <w:p>
            <w:pPr>
              <w:spacing w:beforeAutospacing="true" w:afterAutospacing="true"/>
              <w:jc w:val="left"/>
            </w:pPr>
            <w:r>
              <w:rPr>
                <w:rFonts w:ascii="Calibri" w:hAnsi="Calibri"/>
                <w:color w:val="000000"/>
                <w:sz w:val="22"/>
              </w:rPr>
              <w:t xml:space="preserve">HP-1 Homeless Prevention</w:t>
            </w:r>
          </w:p>
        </w:tc>
        <w:tc>
          <w:tcPr>
            <w:vAlign w:val="top"/>
          </w:tcPr>
          <w:p>
            <w:pPr>
              <w:spacing w:beforeAutospacing="true" w:afterAutospacing="true"/>
              <w:jc w:val="right"/>
            </w:pPr>
            <w:r>
              <w:rPr>
                <w:rFonts w:ascii="Calibri" w:hAnsi="Calibri"/>
                <w:color w:val="000000"/>
                <w:sz w:val="22"/>
              </w:rPr>
              <w:t xml:space="preserve">2025</w:t>
            </w:r>
          </w:p>
        </w:tc>
        <w:tc>
          <w:tcPr>
            <w:vAlign w:val="top"/>
          </w:tcPr>
          <w:p>
            <w:pPr>
              <w:spacing w:beforeAutospacing="true" w:afterAutospacing="true"/>
              <w:jc w:val="right"/>
            </w:pPr>
            <w:r>
              <w:rPr>
                <w:rFonts w:ascii="Calibri" w:hAnsi="Calibri"/>
                <w:color w:val="000000"/>
                <w:sz w:val="22"/>
              </w:rPr>
              <w:t xml:space="preserve">2029</w:t>
            </w:r>
          </w:p>
        </w:tc>
        <w:tc>
          <w:tcPr>
            <w:vAlign w:val="top"/>
          </w:tcPr>
          <w:p>
            <w:pPr>
              <w:spacing w:beforeAutospacing="true" w:afterAutospacing="true"/>
              <w:jc w:val="left"/>
            </w:pPr>
            <w:r>
              <w:rPr>
                <w:rFonts w:ascii="Calibri" w:hAnsi="Calibri"/>
                <w:color w:val="000000"/>
                <w:sz w:val="22"/>
              </w:rPr>
              <w:t xml:space="preserve">Homeless</w:t>
            </w:r>
          </w:p>
        </w:tc>
        <w:tc>
          <w:tcPr>
            <w:vAlign w:val="top"/>
          </w:tcPr>
          <w:p>
            <w:pPr>
              <w:spacing w:beforeAutospacing="true" w:afterAutospacing="true"/>
              <w:jc w:val="left"/>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c>
          <w:tcPr>
            <w:vAlign w:val="top"/>
          </w:tcPr>
          <w:p>
            <w:pPr>
              <w:spacing w:beforeAutospacing="true" w:afterAutospacing="true"/>
              <w:jc w:val="left"/>
            </w:pPr>
            <w:r>
              <w:rPr>
                <w:rFonts w:ascii="Calibri" w:hAnsi="Calibri"/>
                <w:color w:val="000000"/>
                <w:sz w:val="22"/>
              </w:rPr>
              <w:t xml:space="preserve">Homelessness</w:t>
            </w:r>
          </w:p>
        </w:tc>
        <w:tc>
          <w:tcPr>
            <w:vAlign w:val="top"/>
          </w:tcPr>
          <w:p>
            <w:pPr>
              <w:spacing w:beforeAutospacing="true" w:afterAutospacing="true"/>
              <w:jc w:val="right"/>
            </w:pPr>
            <w:r>
              <w:rPr>
                <w:rFonts w:ascii="Calibri" w:hAnsi="Calibri"/>
                <w:color w:val="000000"/>
                <w:sz w:val="22"/>
              </w:rPr>
              <w:t xml:space="preserve">CDBG: $43,961.00</w:t>
            </w:r>
          </w:p>
        </w:tc>
        <w:tc>
          <w:tcPr>
            <w:vAlign w:val="top"/>
          </w:tcPr>
          <w:p>
            <w:pPr>
              <w:spacing w:beforeAutospacing="true" w:afterAutospacing="true"/>
              <w:jc w:val="left"/>
            </w:pPr>
            <w:r>
              <w:rPr>
                <w:rFonts w:ascii="Calibri" w:hAnsi="Calibri"/>
                <w:color w:val="000000"/>
                <w:sz w:val="22"/>
              </w:rPr>
              <w:t xml:space="preserve">Homelessness Prevention: 150 Persons Assisted</w:t>
            </w:r>
          </w:p>
        </w:tc>
      </w:tr>
      <w:tr>
        <w:trPr>
          <w:cantSplit w:val="true"/>
        </w:trPr>
        <w:tc>
          <w:tcPr>
            <w:vAlign w:val="top"/>
          </w:tcPr>
          <w:p>
            <w:pPr>
              <w:spacing w:beforeAutospacing="true" w:afterAutospacing="true"/>
              <w:jc w:val="left"/>
            </w:pPr>
            <w:r>
              <w:rPr>
                <w:rFonts w:ascii="Calibri" w:hAnsi="Calibri"/>
                <w:b/>
                <w:color w:val="000000"/>
                <w:sz w:val="22"/>
              </w:rPr>
              <w:t xml:space="preserve">5</w:t>
            </w:r>
          </w:p>
        </w:tc>
        <w:tc>
          <w:tcPr>
            <w:vAlign w:val="top"/>
          </w:tcPr>
          <w:p>
            <w:pPr>
              <w:spacing w:beforeAutospacing="true" w:afterAutospacing="true"/>
              <w:jc w:val="left"/>
            </w:pPr>
            <w:r>
              <w:rPr>
                <w:rFonts w:ascii="Calibri" w:hAnsi="Calibri"/>
                <w:color w:val="000000"/>
                <w:sz w:val="22"/>
              </w:rPr>
              <w:t xml:space="preserve">AH-4 Affordable Housing</w:t>
            </w:r>
          </w:p>
        </w:tc>
        <w:tc>
          <w:tcPr>
            <w:vAlign w:val="top"/>
          </w:tcPr>
          <w:p>
            <w:pPr>
              <w:spacing w:beforeAutospacing="true" w:afterAutospacing="true"/>
              <w:jc w:val="right"/>
            </w:pPr>
            <w:r>
              <w:rPr>
                <w:rFonts w:ascii="Calibri" w:hAnsi="Calibri"/>
                <w:color w:val="000000"/>
                <w:sz w:val="22"/>
              </w:rPr>
              <w:t xml:space="preserve">2025</w:t>
            </w:r>
          </w:p>
        </w:tc>
        <w:tc>
          <w:tcPr>
            <w:vAlign w:val="top"/>
          </w:tcPr>
          <w:p>
            <w:pPr>
              <w:spacing w:beforeAutospacing="true" w:afterAutospacing="true"/>
              <w:jc w:val="right"/>
            </w:pPr>
            <w:r>
              <w:rPr>
                <w:rFonts w:ascii="Calibri" w:hAnsi="Calibri"/>
                <w:color w:val="000000"/>
                <w:sz w:val="22"/>
              </w:rPr>
              <w:t xml:space="preserve">2029</w:t>
            </w:r>
          </w:p>
        </w:tc>
        <w:tc>
          <w:tcPr>
            <w:vAlign w:val="top"/>
          </w:tcPr>
          <w:p>
            <w:pPr>
              <w:spacing w:beforeAutospacing="true" w:afterAutospacing="true"/>
              <w:jc w:val="left"/>
            </w:pPr>
            <w:r>
              <w:rPr>
                <w:rFonts w:ascii="Calibri" w:hAnsi="Calibri"/>
                <w:color w:val="000000"/>
                <w:sz w:val="22"/>
              </w:rPr>
              <w:t xml:space="preserve">Affordable Housing</w:t>
            </w:r>
          </w:p>
        </w:tc>
        <w:tc>
          <w:tcPr>
            <w:vAlign w:val="top"/>
          </w:tcPr>
          <w:p>
            <w:pPr>
              <w:spacing w:beforeAutospacing="true" w:afterAutospacing="true"/>
              <w:jc w:val="left"/>
            </w:pPr>
            <w:r>
              <w:rPr>
                <w:rFonts w:ascii="Calibri" w:hAnsi="Calibri"/>
                <w:color w:val="000000"/>
                <w:sz w:val="22"/>
              </w:rPr>
              <w:t xml:space="preserve">Downtown Target Area</w:t>
            </w:r>
          </w:p>
        </w:tc>
        <w:tc>
          <w:tcPr>
            <w:vAlign w:val="top"/>
          </w:tcPr>
          <w:p>
            <w:pPr>
              <w:spacing w:beforeAutospacing="true" w:afterAutospacing="true"/>
              <w:jc w:val="left"/>
            </w:pPr>
            <w:r>
              <w:rPr>
                <w:rFonts w:ascii="Calibri" w:hAnsi="Calibri"/>
                <w:color w:val="000000"/>
                <w:sz w:val="22"/>
              </w:rPr>
              <w:t xml:space="preserve">Affordable Housing</w:t>
            </w:r>
          </w:p>
        </w:tc>
        <w:tc>
          <w:tcPr>
            <w:vAlign w:val="top"/>
          </w:tcPr>
          <w:p>
            <w:pPr>
              <w:spacing w:beforeAutospacing="true" w:afterAutospacing="true"/>
              <w:jc w:val="right"/>
            </w:pPr>
            <w:r>
              <w:rPr>
                <w:rFonts w:ascii="Calibri" w:hAnsi="Calibri"/>
                <w:color w:val="000000"/>
                <w:sz w:val="22"/>
              </w:rPr>
              <w:t xml:space="preserve">CDBG: $25,000.00</w:t>
            </w:r>
          </w:p>
        </w:tc>
        <w:tc>
          <w:tcPr>
            <w:vAlign w:val="top"/>
          </w:tcPr>
          <w:p>
            <w:pPr>
              <w:spacing w:beforeAutospacing="true" w:afterAutospacing="true"/>
              <w:jc w:val="left"/>
            </w:pPr>
            <w:r>
              <w:rPr>
                <w:rFonts w:ascii="Calibri" w:hAnsi="Calibri"/>
                <w:color w:val="000000"/>
                <w:sz w:val="22"/>
              </w:rPr>
              <w:t xml:space="preserve">Homeowner Housing Added: 1 Household Housing Unit</w:t>
            </w:r>
          </w:p>
        </w:tc>
      </w:tr>
    </w:tbl>
    <w:p w14:paraId="59476ECC" w14:textId="77777777">
      <w:pPr>
        <w:pStyle w:val="Caption"/>
        <w:jc w:val="center"/>
        <w:rPr>
          <w:rFonts w:asciiTheme="minorHAnsi" w:hAnsiTheme="minorHAnsi"/>
        </w:rPr>
      </w:pPr>
      <w:r>
        <w:rPr>
          <w:rFonts w:asciiTheme="minorHAnsi" w:hAnsiTheme="minorHAnsi"/>
        </w:rPr>
        <w:t xml:space="preserve">Table </w:t>
        <w:fldChar w:fldCharType="begin"/>
        <w:instrText xml:space="preserve"> SEQ Table \* ARABIC </w:instrText>
        <w:fldChar w:fldCharType="separate"/>
        <w:t>2</w:t>
        <w:fldChar w:fldCharType="end"/>
        <w:t xml:space="preserve"> – Goals Summary</w:t>
      </w:r>
    </w:p>
    <w:p w14:paraId="24726A58" w14:textId="77777777"/>
    <w:p w14:paraId="54666A77" w14:textId="77777777">
      <w:pPr>
        <w:rPr>
          <w:b/>
          <w:sz w:val="24"/>
          <w:szCs w:val="24"/>
        </w:rPr>
      </w:pPr>
      <w:r>
        <w:rPr>
          <w:b/>
          <w:sz w:val="24"/>
          <w:szCs w:val="24"/>
        </w:rPr>
        <w:t>Goal Descriptions</w:t>
      </w:r>
    </w:p>
    <w:p w14:paraId="2EAC541A" w14:textId="77777777">
      <w:pPr>
        <w:rPr>
          <w:b/>
          <w:sz w:val="24"/>
          <w:szCs w:val="24"/>
        </w:rPr>
      </w:pPr>
    </w:p>
    <w:tb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Pr>
      <w:tblGrid/>
      <w:tr>
        <w:trPr>
          <w:cantSplit w:val="true"/>
        </w:trPr>
        <w:tc>
          <w:tcPr>
            <w:vMerge w:val="restart"/>
          </w:tcPr>
          <w:p>
            <w:pPr>
              <w:keepNext w:val="true"/>
              <w:spacing w:before="100" w:after="0"/>
            </w:pPr>
            <w:r>
              <w:rPr>
                <w:rFonts w:ascii="Calibri" w:hAnsi="Calibri"/>
                <w:b/>
                <w:color w:val="000000"/>
                <w:sz w:val="22"/>
              </w:rPr>
              <w:t xml:space="preserve">1</w:t>
            </w:r>
          </w:p>
        </w:tc>
        <w:tc>
          <w:p w14:paraId="780F2F6B" w14:textId="77777777">
            <w:pPr>
              <w:keepNext w:val="true"/>
              <w:spacing w:before="100" w:after="0"/>
              <w:rPr>
                <w:b/>
              </w:rPr>
            </w:pPr>
            <w:r>
              <w:rPr>
                <w:b/>
              </w:rPr>
              <w:t>Goal Name</w:t>
            </w:r>
          </w:p>
        </w:tc>
        <w:tc>
          <w:p>
            <w:pPr>
              <w:spacing w:before="100" w:after="0"/>
            </w:pPr>
            <w:r>
              <w:rPr>
                <w:rFonts w:ascii="Calibri" w:hAnsi="Calibri"/>
                <w:color w:val="000000"/>
                <w:sz w:val="22"/>
              </w:rPr>
              <w:t xml:space="preserve">AH-1 Affordable Housing</w:t>
            </w:r>
          </w:p>
        </w:tc>
      </w:tr>
      <w:tr>
        <w:trPr>
          <w:cantSplit w:val="true"/>
        </w:trPr>
        <w:tc>
          <w:tcPr>
            <w:vMerge/>
          </w:tcPr>
          <w:p/>
        </w:tc>
        <w:tc>
          <w:p w14:paraId="799B140E" w14:textId="77777777">
            <w:pPr>
              <w:keepNext w:val="true"/>
              <w:spacing w:before="100" w:after="0"/>
              <w:rPr>
                <w:b/>
              </w:rPr>
            </w:pPr>
            <w:r>
              <w:rPr>
                <w:b/>
              </w:rPr>
              <w:t>Goal Description</w:t>
            </w:r>
          </w:p>
        </w:tc>
        <w:tc>
          <w:p>
            <w:pPr>
              <w:spacing w:before="100" w:after="0"/>
            </w:pPr>
            <w:r>
              <w:rPr>
                <w:rFonts w:ascii="Calibri" w:hAnsi="Calibri"/>
                <w:color w:val="000000"/>
                <w:sz w:val="22"/>
              </w:rPr>
              <w:t xml:space="preserve">Homeownership Assistance</w:t>
            </w:r>
          </w:p>
        </w:tc>
      </w:tr>
      <w:tr>
        <w:trPr>
          <w:cantSplit w:val="true"/>
        </w:trPr>
        <w:tc>
          <w:tcPr>
            <w:vMerge w:val="restart"/>
          </w:tcPr>
          <w:p>
            <w:pPr>
              <w:keepNext w:val="true"/>
              <w:spacing w:before="100" w:after="0"/>
            </w:pPr>
            <w:r>
              <w:rPr>
                <w:rFonts w:ascii="Calibri" w:hAnsi="Calibri"/>
                <w:b/>
                <w:color w:val="000000"/>
                <w:sz w:val="22"/>
              </w:rPr>
              <w:t xml:space="preserve">2</w:t>
            </w:r>
          </w:p>
        </w:tc>
        <w:tc>
          <w:p w14:paraId="780F2F6B" w14:textId="77777777">
            <w:pPr>
              <w:keepNext w:val="true"/>
              <w:spacing w:before="100" w:after="0"/>
              <w:rPr>
                <w:b/>
              </w:rPr>
            </w:pPr>
            <w:r>
              <w:rPr>
                <w:b/>
              </w:rPr>
              <w:t>Goal Name</w:t>
            </w:r>
          </w:p>
        </w:tc>
        <w:tc>
          <w:p>
            <w:pPr>
              <w:spacing w:before="100" w:after="0"/>
            </w:pPr>
            <w:r>
              <w:rPr>
                <w:rFonts w:ascii="Calibri" w:hAnsi="Calibri"/>
                <w:color w:val="000000"/>
                <w:sz w:val="22"/>
              </w:rPr>
              <w:t xml:space="preserve">AH=2 Affordable Housing</w:t>
            </w:r>
          </w:p>
        </w:tc>
      </w:tr>
      <w:tr>
        <w:trPr>
          <w:cantSplit w:val="true"/>
        </w:trPr>
        <w:tc>
          <w:tcPr>
            <w:vMerge/>
          </w:tcPr>
          <w:p/>
        </w:tc>
        <w:tc>
          <w:p w14:paraId="799B140E" w14:textId="77777777">
            <w:pPr>
              <w:keepNext w:val="true"/>
              <w:spacing w:before="100" w:after="0"/>
              <w:rPr>
                <w:b/>
              </w:rPr>
            </w:pPr>
            <w:r>
              <w:rPr>
                <w:b/>
              </w:rPr>
              <w:t>Goal Description</w:t>
            </w:r>
          </w:p>
        </w:tc>
        <w:tc>
          <w:p>
            <w:pPr>
              <w:spacing w:before="100" w:after="0"/>
            </w:pPr>
            <w:r>
              <w:rPr>
                <w:rFonts w:ascii="Calibri" w:hAnsi="Calibri"/>
                <w:color w:val="000000"/>
                <w:sz w:val="22"/>
              </w:rPr>
              <w:t xml:space="preserve">Preserve Housing Stock – Owner-occupied Rehabilitation</w:t>
            </w:r>
          </w:p>
        </w:tc>
      </w:tr>
      <w:tr>
        <w:trPr>
          <w:cantSplit w:val="true"/>
        </w:trPr>
        <w:tc>
          <w:tcPr>
            <w:vMerge w:val="restart"/>
          </w:tcPr>
          <w:p>
            <w:pPr>
              <w:keepNext w:val="true"/>
              <w:spacing w:before="100" w:after="0"/>
            </w:pPr>
            <w:r>
              <w:rPr>
                <w:rFonts w:ascii="Calibri" w:hAnsi="Calibri"/>
                <w:b/>
                <w:color w:val="000000"/>
                <w:sz w:val="22"/>
              </w:rPr>
              <w:t xml:space="preserve">3</w:t>
            </w:r>
          </w:p>
        </w:tc>
        <w:tc>
          <w:p w14:paraId="780F2F6B" w14:textId="77777777">
            <w:pPr>
              <w:keepNext w:val="true"/>
              <w:spacing w:before="100" w:after="0"/>
              <w:rPr>
                <w:b/>
              </w:rPr>
            </w:pPr>
            <w:r>
              <w:rPr>
                <w:b/>
              </w:rPr>
              <w:t>Goal Name</w:t>
            </w:r>
          </w:p>
        </w:tc>
        <w:tc>
          <w:p>
            <w:pPr>
              <w:spacing w:before="100" w:after="0"/>
            </w:pPr>
            <w:r>
              <w:rPr>
                <w:rFonts w:ascii="Calibri" w:hAnsi="Calibri"/>
                <w:color w:val="000000"/>
                <w:sz w:val="22"/>
              </w:rPr>
              <w:t xml:space="preserve">AH-3 Affordable Housing</w:t>
            </w:r>
          </w:p>
        </w:tc>
      </w:tr>
      <w:tr>
        <w:trPr>
          <w:cantSplit w:val="true"/>
        </w:trPr>
        <w:tc>
          <w:tcPr>
            <w:vMerge/>
          </w:tcPr>
          <w:p/>
        </w:tc>
        <w:tc>
          <w:p w14:paraId="799B140E" w14:textId="77777777">
            <w:pPr>
              <w:keepNext w:val="true"/>
              <w:spacing w:before="100" w:after="0"/>
              <w:rPr>
                <w:b/>
              </w:rPr>
            </w:pPr>
            <w:r>
              <w:rPr>
                <w:b/>
              </w:rPr>
              <w:t>Goal Description</w:t>
            </w:r>
          </w:p>
        </w:tc>
        <w:tc>
          <w:p>
            <w:pPr>
              <w:spacing w:before="100" w:after="0"/>
            </w:pPr>
            <w:r>
              <w:rPr>
                <w:rFonts w:ascii="Calibri" w:hAnsi="Calibri"/>
                <w:color w:val="000000"/>
                <w:sz w:val="22"/>
              </w:rPr>
              <w:t xml:space="preserve">Preserve Housing Stock-Emergency Repairs</w:t>
            </w:r>
          </w:p>
        </w:tc>
      </w:tr>
      <w:tr>
        <w:trPr>
          <w:cantSplit w:val="true"/>
        </w:trPr>
        <w:tc>
          <w:tcPr>
            <w:vMerge w:val="restart"/>
          </w:tcPr>
          <w:p>
            <w:pPr>
              <w:keepNext w:val="true"/>
              <w:spacing w:before="100" w:after="0"/>
            </w:pPr>
            <w:r>
              <w:rPr>
                <w:rFonts w:ascii="Calibri" w:hAnsi="Calibri"/>
                <w:b/>
                <w:color w:val="000000"/>
                <w:sz w:val="22"/>
              </w:rPr>
              <w:t xml:space="preserve">4</w:t>
            </w:r>
          </w:p>
        </w:tc>
        <w:tc>
          <w:p w14:paraId="780F2F6B" w14:textId="77777777">
            <w:pPr>
              <w:keepNext w:val="true"/>
              <w:spacing w:before="100" w:after="0"/>
              <w:rPr>
                <w:b/>
              </w:rPr>
            </w:pPr>
            <w:r>
              <w:rPr>
                <w:b/>
              </w:rPr>
              <w:t>Goal Name</w:t>
            </w:r>
          </w:p>
        </w:tc>
        <w:tc>
          <w:p>
            <w:pPr>
              <w:spacing w:before="100" w:after="0"/>
            </w:pPr>
            <w:r>
              <w:rPr>
                <w:rFonts w:ascii="Calibri" w:hAnsi="Calibri"/>
                <w:color w:val="000000"/>
                <w:sz w:val="22"/>
              </w:rPr>
              <w:t xml:space="preserve">HP-1 Homeless Prevention</w:t>
            </w:r>
          </w:p>
        </w:tc>
      </w:tr>
      <w:tr>
        <w:trPr>
          <w:cantSplit w:val="true"/>
        </w:trPr>
        <w:tc>
          <w:tcPr>
            <w:vMerge/>
          </w:tcPr>
          <w:p/>
        </w:tc>
        <w:tc>
          <w:p w14:paraId="799B140E" w14:textId="77777777">
            <w:pPr>
              <w:keepNext w:val="true"/>
              <w:spacing w:before="100" w:after="0"/>
              <w:rPr>
                <w:b/>
              </w:rPr>
            </w:pPr>
            <w:r>
              <w:rPr>
                <w:b/>
              </w:rPr>
              <w:t>Goal Description</w:t>
            </w:r>
          </w:p>
        </w:tc>
        <w:tc>
          <w:p>
            <w:pPr>
              <w:spacing w:before="100" w:after="0"/>
            </w:pPr>
            <w:r>
              <w:rPr>
                <w:rFonts w:ascii="Calibri" w:hAnsi="Calibri"/>
                <w:color w:val="000000"/>
                <w:sz w:val="22"/>
              </w:rPr>
              <w:t xml:space="preserve">Providing Public Services to Vulnerable Populations</w:t>
            </w:r>
          </w:p>
        </w:tc>
      </w:tr>
      <w:tr>
        <w:trPr>
          <w:cantSplit w:val="true"/>
        </w:trPr>
        <w:tc>
          <w:tcPr>
            <w:vMerge w:val="restart"/>
          </w:tcPr>
          <w:p>
            <w:pPr>
              <w:keepNext w:val="true"/>
              <w:spacing w:before="100" w:after="0"/>
            </w:pPr>
            <w:r>
              <w:rPr>
                <w:rFonts w:ascii="Calibri" w:hAnsi="Calibri"/>
                <w:b/>
                <w:color w:val="000000"/>
                <w:sz w:val="22"/>
              </w:rPr>
              <w:t xml:space="preserve">5</w:t>
            </w:r>
          </w:p>
        </w:tc>
        <w:tc>
          <w:p w14:paraId="780F2F6B" w14:textId="77777777">
            <w:pPr>
              <w:keepNext w:val="true"/>
              <w:spacing w:before="100" w:after="0"/>
              <w:rPr>
                <w:b/>
              </w:rPr>
            </w:pPr>
            <w:r>
              <w:rPr>
                <w:b/>
              </w:rPr>
              <w:t>Goal Name</w:t>
            </w:r>
          </w:p>
        </w:tc>
        <w:tc>
          <w:p>
            <w:pPr>
              <w:spacing w:before="100" w:after="0"/>
            </w:pPr>
            <w:r>
              <w:rPr>
                <w:rFonts w:ascii="Calibri" w:hAnsi="Calibri"/>
                <w:color w:val="000000"/>
                <w:sz w:val="22"/>
              </w:rPr>
              <w:t xml:space="preserve">AH-4 Affordable Housing</w:t>
            </w:r>
          </w:p>
        </w:tc>
      </w:tr>
      <w:tr>
        <w:trPr>
          <w:cantSplit w:val="true"/>
        </w:trPr>
        <w:tc>
          <w:tcPr>
            <w:vMerge/>
          </w:tcPr>
          <w:p/>
        </w:tc>
        <w:tc>
          <w:p w14:paraId="799B140E" w14:textId="77777777">
            <w:pPr>
              <w:keepNext w:val="true"/>
              <w:spacing w:before="100" w:after="0"/>
              <w:rPr>
                <w:b/>
              </w:rPr>
            </w:pPr>
            <w:r>
              <w:rPr>
                <w:b/>
              </w:rPr>
              <w:t>Goal Description</w:t>
            </w:r>
          </w:p>
        </w:tc>
        <w:tc>
          <w:p>
            <w:pPr>
              <w:spacing w:before="100" w:after="0"/>
            </w:pPr>
            <w:r>
              <w:rPr>
                <w:rFonts w:ascii="Calibri" w:hAnsi="Calibri"/>
                <w:color w:val="000000"/>
                <w:sz w:val="22"/>
              </w:rPr>
              <w:t xml:space="preserve">Affordable Housing Development</w:t>
            </w:r>
          </w:p>
        </w:tc>
      </w:tr>
    </w:tbl>
    <w:p w14:paraId="24233F2A" w14:textId="77777777">
      <w:pPr>
        <w:keepNext/>
        <w:widowControl w:val="false"/>
        <w:jc w:val="center"/>
        <w:rPr>
          <w:b/>
          <w:sz w:val="20"/>
          <w:szCs w:val="20"/>
        </w:rPr>
      </w:pPr>
    </w:p>
    <w:p w14:paraId="773B004D" w14:textId="77777777">
      <w:pPr>
        <w:rPr>
          <w:b/>
          <w:sz w:val="24"/>
          <w:szCs w:val="24"/>
        </w:rPr>
      </w:pPr>
    </w:p>
    <w:p w14:paraId="2D878635" w14:textId="77777777">
      <w:pPr>
        <w:sectPr>
          <w:pgSz w:w="15840" w:h="12240" w:orient="landscape" w:code="1"/>
          <w:pgMar w:top="1440" w:right="1440" w:bottom="1440" w:left="1440" w:header="720" w:footer="720" w:gutter="0"/>
          <w:cols w:space="720"/>
          <w:docGrid w:linePitch="360"/>
        </w:sectPr>
      </w:pPr>
    </w:p>
    <w:p w14:paraId="43345906" w14:textId="77777777">
      <w:pPr>
        <w:pStyle w:val="Heading2"/>
        <w:jc w:val="center"/>
        <w:rPr>
          <w:rFonts w:ascii="Calibri" w:hAnsi="Calibri"/>
          <w:i w:val="false"/>
          <w:sz w:val="32"/>
          <w:szCs w:val="32"/>
        </w:rPr>
      </w:pPr>
      <w:r>
        <w:rPr>
          <w:rFonts w:ascii="Calibri" w:hAnsi="Calibri"/>
          <w:i w:val="false"/>
          <w:sz w:val="32"/>
          <w:szCs w:val="32"/>
        </w:rPr>
        <w:t xml:space="preserve">Projects </w:t>
      </w:r>
      <w:bookmarkStart w:name="_Toc309810475" w:id="1"/>
      <w:bookmarkEnd w:id="0"/>
    </w:p>
    <w:p w14:paraId="4A4816BE" w14:textId="77777777">
      <w:pPr>
        <w:pStyle w:val="Heading2"/>
        <w:rPr>
          <w:rFonts w:ascii="Calibri" w:hAnsi="Calibri"/>
          <w:i w:val="false"/>
        </w:rPr>
      </w:pPr>
      <w:r>
        <w:rPr>
          <w:rFonts w:ascii="Calibri" w:hAnsi="Calibri"/>
          <w:i w:val="false"/>
        </w:rPr>
        <w:t>AP-35 Projects – 91.220(d)</w:t>
      </w:r>
    </w:p>
    <w:p w14:paraId="4A9D4F83" w14:textId="77777777">
      <w:pPr>
        <w:keepNext/>
        <w:widowControl w:val="false"/>
        <w:spacing w:line="204" w:lineRule="auto"/>
        <w:rPr>
          <w:b/>
          <w:sz w:val="24"/>
          <w:szCs w:val="24"/>
        </w:rPr>
      </w:pPr>
      <w:r>
        <w:rPr>
          <w:b/>
          <w:sz w:val="24"/>
          <w:szCs w:val="24"/>
        </w:rPr>
        <w:t xml:space="preserve">Introduction </w:t>
      </w:r>
    </w:p>
    <w:p>
      <w:pPr>
        <w:keepNext/>
        <w:widowControl w:val="false"/>
        <w:spacing w:beforeAutospacing="true" w:afterAutospacing="true"/>
        <w:rPr>
          <w:rFonts w:cs="Arial"/>
        </w:rPr>
      </w:pPr>
      <w:r>
        <w:rPr>
          <w:rFonts w:cs="Arial"/>
        </w:rPr>
        <w:t xml:space="preserve">The projects included in the 2026 Annual Action Plan are designed to implement the goals and priorities identified in the City of Dover’s 2025–2029 Consolidated Plan. These projects focus on addressing the most critical housing and community development needs of low- and moderate-income residents, including housing preservation, homeownership assistance, and support for vulnerable populations.</w:t>
      </w:r>
    </w:p>
    <w:p>
      <w:pPr>
        <w:keepNext/>
        <w:widowControl w:val="false"/>
        <w:spacing w:beforeAutospacing="true" w:afterAutospacing="true"/>
        <w:rPr>
          <w:rFonts w:cs="Arial"/>
        </w:rPr>
      </w:pPr>
      <w:r>
        <w:rPr>
          <w:rFonts w:cs="Arial"/>
        </w:rPr>
        <w:t xml:space="preserve">Funding allocations were determined based on community input, identified needs, and the availability of CDBG resources. Projects were selected based on demonstrated capacity, prior performance, and alignment with identified community needs. The selected projects represent a coordinated approach to improving housing conditions, expanding access to affordable housing, and providing essential services to residents in need.</w:t>
      </w:r>
    </w:p>
    <w:p w14:paraId="74FBC15C" w14:textId="77777777">
      <w:pPr>
        <w:keepNext/>
        <w:widowControl w:val="false"/>
        <w:spacing w:line="204" w:lineRule="auto"/>
        <w:rPr>
          <w:rFonts w:cs="Arial"/>
        </w:rPr>
      </w:pPr>
    </w:p>
    <w:p w14:paraId="7935D443" w14:textId="77777777">
      <w:pPr>
        <w:keepNext/>
        <w:widowControl w:val="false"/>
        <w:spacing w:line="204" w:lineRule="auto"/>
        <w:rPr>
          <w:b/>
          <w:sz w:val="24"/>
          <w:szCs w:val="24"/>
        </w:rPr>
      </w:pPr>
      <w:r>
        <w:rPr>
          <w:rFonts w:cs="Arial"/>
          <w:b/>
        </w:rPr>
        <w:t>Projects</w:t>
      </w:r>
    </w:p>
    <w:tbl>
      <w:tblPr>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2073"/>
        <w:gridCol w:w="7388"/>
      </w:tblGrid>
      <w:tr w14:paraId="1ACEAEB4" w14:textId="77777777">
        <w:trPr>
          <w:cantSplit/>
          <w:tblHeader/>
        </w:trPr>
        <w:tc>
          <w:tcPr>
            <w:tcW w:w="0" w:type="auto"/>
          </w:tcPr>
          <w:p w14:paraId="211D19A2" w14:textId="77777777">
            <w:pPr>
              <w:keepNext/>
              <w:widowControl w:val="false"/>
              <w:spacing w:after="0" w:line="240" w:lineRule="auto"/>
              <w:jc w:val="center"/>
              <w:rPr>
                <w:b/>
              </w:rPr>
            </w:pPr>
            <w:r>
              <w:rPr>
                <w:b/>
              </w:rPr>
              <w:t>#</w:t>
            </w:r>
          </w:p>
        </w:tc>
        <w:tc>
          <w:tcPr>
            <w:tcW w:w="0" w:type="auto"/>
          </w:tcPr>
          <w:p w14:paraId="746D291A" w14:textId="77777777">
            <w:pPr>
              <w:keepNext/>
              <w:widowControl w:val="false"/>
              <w:spacing w:after="0" w:line="240" w:lineRule="auto"/>
              <w:jc w:val="center"/>
              <w:rPr>
                <w:b/>
                <w:szCs w:val="24"/>
              </w:rPr>
            </w:pPr>
            <w:r>
              <w:rPr>
                <w:b/>
              </w:rPr>
              <w:t>Project Name</w:t>
            </w:r>
          </w:p>
        </w:tc>
      </w:tr>
      <w:tr>
        <w:trPr>
          <w:cantSplit w:val="true"/>
        </w:trPr>
        <w:tc>
          <w:tcPr>
            <w:vAlign w:val="bottom"/>
          </w:tcPr>
          <w:p>
            <w:pPr>
              <w:spacing w:beforeAutospacing="true" w:afterAutospacing="true"/>
              <w:jc w:val="right"/>
            </w:pPr>
            <w:r>
              <w:rPr>
                <w:rFonts w:ascii="Calibri" w:hAnsi="Calibri"/>
                <w:color w:val="000000"/>
                <w:sz w:val="22"/>
              </w:rPr>
              <w:t xml:space="preserve">1</w:t>
            </w:r>
          </w:p>
        </w:tc>
        <w:tc>
          <w:tcPr>
            <w:vAlign w:val="bottom"/>
          </w:tcPr>
          <w:p>
            <w:pPr>
              <w:spacing w:beforeAutospacing="true" w:afterAutospacing="true"/>
              <w:jc w:val="left"/>
            </w:pPr>
            <w:r>
              <w:rPr>
                <w:rFonts w:ascii="Calibri" w:hAnsi="Calibri"/>
                <w:color w:val="000000"/>
                <w:sz w:val="22"/>
              </w:rPr>
              <w:t xml:space="preserve">Program Administration</w:t>
            </w:r>
          </w:p>
        </w:tc>
      </w:tr>
      <w:tr>
        <w:trPr>
          <w:cantSplit w:val="true"/>
        </w:trPr>
        <w:tc>
          <w:tcPr>
            <w:vAlign w:val="bottom"/>
          </w:tcPr>
          <w:p>
            <w:pPr>
              <w:spacing w:beforeAutospacing="true" w:afterAutospacing="true"/>
              <w:jc w:val="right"/>
            </w:pPr>
            <w:r>
              <w:rPr>
                <w:rFonts w:ascii="Calibri" w:hAnsi="Calibri"/>
                <w:color w:val="000000"/>
                <w:sz w:val="22"/>
              </w:rPr>
              <w:t xml:space="preserve">2</w:t>
            </w:r>
          </w:p>
        </w:tc>
        <w:tc>
          <w:tcPr>
            <w:vAlign w:val="bottom"/>
          </w:tcPr>
          <w:p>
            <w:pPr>
              <w:spacing w:beforeAutospacing="true" w:afterAutospacing="true"/>
              <w:jc w:val="left"/>
            </w:pPr>
            <w:r>
              <w:rPr>
                <w:rFonts w:ascii="Calibri" w:hAnsi="Calibri"/>
                <w:color w:val="000000"/>
                <w:sz w:val="22"/>
              </w:rPr>
              <w:t xml:space="preserve">Homeownership Assistance Program</w:t>
            </w:r>
          </w:p>
        </w:tc>
      </w:tr>
      <w:tr>
        <w:trPr>
          <w:cantSplit w:val="true"/>
        </w:trPr>
        <w:tc>
          <w:tcPr>
            <w:vAlign w:val="bottom"/>
          </w:tcPr>
          <w:p>
            <w:pPr>
              <w:spacing w:beforeAutospacing="true" w:afterAutospacing="true"/>
              <w:jc w:val="right"/>
            </w:pPr>
            <w:r>
              <w:rPr>
                <w:rFonts w:ascii="Calibri" w:hAnsi="Calibri"/>
                <w:color w:val="000000"/>
                <w:sz w:val="22"/>
              </w:rPr>
              <w:t xml:space="preserve">3</w:t>
            </w:r>
          </w:p>
        </w:tc>
        <w:tc>
          <w:tcPr>
            <w:vAlign w:val="bottom"/>
          </w:tcPr>
          <w:p>
            <w:pPr>
              <w:spacing w:beforeAutospacing="true" w:afterAutospacing="true"/>
              <w:jc w:val="left"/>
            </w:pPr>
            <w:r>
              <w:rPr>
                <w:rFonts w:ascii="Calibri" w:hAnsi="Calibri"/>
                <w:color w:val="000000"/>
                <w:sz w:val="22"/>
              </w:rPr>
              <w:t xml:space="preserve">CDHC House of Hope Operations</w:t>
            </w:r>
          </w:p>
        </w:tc>
      </w:tr>
      <w:tr>
        <w:trPr>
          <w:cantSplit w:val="true"/>
        </w:trPr>
        <w:tc>
          <w:tcPr>
            <w:vAlign w:val="bottom"/>
          </w:tcPr>
          <w:p>
            <w:pPr>
              <w:spacing w:beforeAutospacing="true" w:afterAutospacing="true"/>
              <w:jc w:val="right"/>
            </w:pPr>
            <w:r>
              <w:rPr>
                <w:rFonts w:ascii="Calibri" w:hAnsi="Calibri"/>
                <w:color w:val="000000"/>
                <w:sz w:val="22"/>
              </w:rPr>
              <w:t xml:space="preserve">4</w:t>
            </w:r>
          </w:p>
        </w:tc>
        <w:tc>
          <w:tcPr>
            <w:vAlign w:val="bottom"/>
          </w:tcPr>
          <w:p>
            <w:pPr>
              <w:spacing w:beforeAutospacing="true" w:afterAutospacing="true"/>
              <w:jc w:val="left"/>
            </w:pPr>
            <w:r>
              <w:rPr>
                <w:rFonts w:ascii="Calibri" w:hAnsi="Calibri"/>
                <w:color w:val="000000"/>
                <w:sz w:val="22"/>
              </w:rPr>
              <w:t xml:space="preserve">MHDC Emergency Home Repair Program</w:t>
            </w:r>
          </w:p>
        </w:tc>
      </w:tr>
      <w:tr>
        <w:trPr>
          <w:cantSplit w:val="true"/>
        </w:trPr>
        <w:tc>
          <w:tcPr>
            <w:vAlign w:val="bottom"/>
          </w:tcPr>
          <w:p>
            <w:pPr>
              <w:spacing w:beforeAutospacing="true" w:afterAutospacing="true"/>
              <w:jc w:val="right"/>
            </w:pPr>
            <w:r>
              <w:rPr>
                <w:rFonts w:ascii="Calibri" w:hAnsi="Calibri"/>
                <w:color w:val="000000"/>
                <w:sz w:val="22"/>
              </w:rPr>
              <w:t xml:space="preserve">5</w:t>
            </w:r>
          </w:p>
        </w:tc>
        <w:tc>
          <w:tcPr>
            <w:vAlign w:val="bottom"/>
          </w:tcPr>
          <w:p>
            <w:pPr>
              <w:spacing w:beforeAutospacing="true" w:afterAutospacing="true"/>
              <w:jc w:val="left"/>
            </w:pPr>
            <w:r>
              <w:rPr>
                <w:rFonts w:ascii="Calibri" w:hAnsi="Calibri"/>
                <w:color w:val="000000"/>
                <w:sz w:val="22"/>
              </w:rPr>
              <w:t xml:space="preserve">Habitat for Humanity Affordable Housing</w:t>
            </w:r>
          </w:p>
        </w:tc>
      </w:tr>
      <w:tr>
        <w:trPr>
          <w:cantSplit w:val="true"/>
        </w:trPr>
        <w:tc>
          <w:tcPr>
            <w:vAlign w:val="bottom"/>
          </w:tcPr>
          <w:p>
            <w:pPr>
              <w:spacing w:beforeAutospacing="true" w:afterAutospacing="true"/>
              <w:jc w:val="right"/>
            </w:pPr>
            <w:r>
              <w:rPr>
                <w:rFonts w:ascii="Calibri" w:hAnsi="Calibri"/>
                <w:color w:val="000000"/>
                <w:sz w:val="22"/>
              </w:rPr>
              <w:t xml:space="preserve">6</w:t>
            </w:r>
          </w:p>
        </w:tc>
        <w:tc>
          <w:tcPr>
            <w:vAlign w:val="bottom"/>
          </w:tcPr>
          <w:p>
            <w:pPr>
              <w:spacing w:beforeAutospacing="true" w:afterAutospacing="true"/>
              <w:jc w:val="left"/>
            </w:pPr>
            <w:r>
              <w:rPr>
                <w:rFonts w:ascii="Calibri" w:hAnsi="Calibri"/>
                <w:color w:val="000000"/>
                <w:sz w:val="22"/>
              </w:rPr>
              <w:t xml:space="preserve">MHDC Homeowner Rehabilitation Program</w:t>
            </w:r>
          </w:p>
        </w:tc>
      </w:tr>
    </w:tbl>
    <w:p w14:paraId="1A7A3EA9" w14:textId="77777777">
      <w:pPr>
        <w:pStyle w:val="Caption"/>
        <w:rPr>
          <w:rFonts w:asciiTheme="minorHAnsi" w:hAnsiTheme="minorHAnsi"/>
        </w:rPr>
      </w:pPr>
      <w:r>
        <w:rPr>
          <w:rFonts w:asciiTheme="minorHAnsi" w:hAnsiTheme="minorHAnsi"/>
        </w:rPr>
        <w:t xml:space="preserve">Table </w:t>
        <w:fldChar w:fldCharType="begin"/>
        <w:instrText xml:space="preserve"> SEQ Table \* ARABIC </w:instrText>
        <w:fldChar w:fldCharType="separate"/>
        <w:t>3</w:t>
        <w:fldChar w:fldCharType="end"/>
        <w:t xml:space="preserve"> - Project Information</w:t>
      </w:r>
    </w:p>
    <w:p w14:paraId="5EC2932A" w14:textId="77777777">
      <w:pPr>
        <w:spacing w:after="0" w:line="240" w:lineRule="auto"/>
        <w:rPr>
          <w:b/>
          <w:sz w:val="24"/>
          <w:szCs w:val="24"/>
        </w:rPr>
      </w:pPr>
    </w:p>
    <w:p w14:paraId="69948DD1" w14:textId="77777777">
      <w:pPr>
        <w:keepNext/>
        <w:widowControl w:val="false"/>
        <w:spacing w:line="204" w:lineRule="auto"/>
        <w:rPr>
          <w:b/>
          <w:sz w:val="24"/>
          <w:szCs w:val="24"/>
        </w:rPr>
      </w:pPr>
      <w:r>
        <w:rPr>
          <w:b/>
          <w:sz w:val="24"/>
          <w:szCs w:val="24"/>
        </w:rPr>
        <w:t>Describe the reasons for allocation priorities and any obstacles to addressing underserved needs</w:t>
      </w:r>
    </w:p>
    <w:p>
      <w:pPr>
        <w:keepNext/>
        <w:widowControl w:val="false"/>
        <w:spacing w:beforeAutospacing="true" w:afterAutospacing="true"/>
        <w:rPr>
          <w:rFonts w:cs="Arial"/>
          <w:szCs w:val="24"/>
        </w:rPr>
      </w:pPr>
      <w:r>
        <w:rPr>
          <w:rFonts w:cs="Arial"/>
        </w:rPr>
        <w:t xml:space="preserve">The City of Dover’s allocation priorities are based on the goals and objectives identified in the 2025–2029 Consolidated Plan, as well as input received through the citizen participation process and consultation with local housing and service providers. Priority is given to activities that address the most critical needs of low- and moderate-income residents, including preserving the existing housing stock, expanding access to homeownership, and supporting individuals experiencing homelessness or housing instability.</w:t>
      </w:r>
    </w:p>
    <w:p>
      <w:pPr>
        <w:keepNext/>
        <w:widowControl w:val="false"/>
        <w:spacing w:beforeAutospacing="true" w:afterAutospacing="true"/>
        <w:rPr>
          <w:rFonts w:cs="Arial"/>
          <w:szCs w:val="24"/>
        </w:rPr>
      </w:pPr>
      <w:r>
        <w:rPr>
          <w:rFonts w:cs="Arial"/>
        </w:rPr>
        <w:t xml:space="preserve">Funding decisions reflect a focus on programs that have demonstrated effectiveness and the capacity to deliver measurable outcomes, such as housing rehabilitation, homeownership assistance, and public service programs administered by local nonprofit partners. The City also prioritizes activities that leverage additional resources and partnerships to maximize the impact of limited CDBG funding.</w:t>
      </w:r>
    </w:p>
    <w:p>
      <w:pPr>
        <w:keepNext/>
        <w:widowControl w:val="false"/>
        <w:spacing w:beforeAutospacing="true" w:afterAutospacing="true"/>
        <w:rPr>
          <w:rFonts w:cs="Arial"/>
          <w:szCs w:val="24"/>
        </w:rPr>
      </w:pPr>
      <w:r>
        <w:rPr>
          <w:rFonts w:cs="Arial"/>
        </w:rPr>
        <w:t xml:space="preserve">The primary obstacle to addressing underserved needs is the limited availability of funding relative to the demand for housing and services. The need for affordable housing, particularly for low- and very low-income households, continues to exceed available resources. In addition, rising construction and rehabilitation costs have reduced the number of households that can be served with available funding.</w:t>
      </w:r>
    </w:p>
    <w:p>
      <w:pPr>
        <w:keepNext/>
        <w:widowControl w:val="false"/>
        <w:spacing w:beforeAutospacing="true" w:afterAutospacing="true"/>
        <w:rPr>
          <w:rFonts w:cs="Arial"/>
          <w:szCs w:val="24"/>
        </w:rPr>
      </w:pPr>
      <w:r>
        <w:rPr>
          <w:rFonts w:cs="Arial"/>
        </w:rPr>
        <w:t xml:space="preserve">Despite these challenges, the City continues to coordinate with local and regional partners to leverage additional resources and improve service delivery, while prioritizing investments that provide the greatest benefit to low- and moderate-income residents.</w:t>
      </w:r>
    </w:p>
    <w:p w14:paraId="52DF84FD" w14:textId="77777777">
      <w:pPr>
        <w:rPr>
          <w:rFonts w:cs="Arial"/>
        </w:rPr>
      </w:pPr>
    </w:p>
    <w:p w14:paraId="63FDB4C1" w14:textId="77777777">
      <w:pPr>
        <w:rPr>
          <w:rFonts w:cs="Arial"/>
        </w:rPr>
      </w:pPr>
    </w:p>
    <w:p w14:paraId="170C2E9A" w14:textId="77777777">
      <w:pPr>
        <w:rPr>
          <w:rFonts w:cs="Arial"/>
        </w:rPr>
        <w:sectPr>
          <w:pgSz w:w="12240" w:h="15840" w:code="1"/>
          <w:pgMar w:top="1440" w:right="1440" w:bottom="1440" w:left="1440" w:header="720" w:footer="720" w:gutter="0"/>
          <w:cols w:space="720"/>
          <w:docGrid w:linePitch="360"/>
        </w:sectPr>
      </w:pPr>
    </w:p>
    <w:p w14:paraId="49647F4B" w14:textId="77777777">
      <w:pPr>
        <w:rPr>
          <w:rFonts w:cs="Arial"/>
        </w:rPr>
      </w:pPr>
    </w:p>
    <w:p w14:paraId="2F7446AD" w14:textId="77777777">
      <w:pPr>
        <w:pStyle w:val="Heading2"/>
        <w:rPr>
          <w:rFonts w:ascii="Calibri" w:hAnsi="Calibri"/>
          <w:i w:val="false"/>
        </w:rPr>
      </w:pPr>
      <w:r>
        <w:rPr>
          <w:rFonts w:ascii="Calibri" w:hAnsi="Calibri"/>
          <w:i w:val="false"/>
        </w:rPr>
        <w:t>AP-38 Project Summary</w:t>
      </w:r>
    </w:p>
    <w:p w14:paraId="1AC819F1" w14:textId="77777777">
      <w:pPr>
        <w:keepNext/>
        <w:widowControl w:val="false"/>
        <w:rPr>
          <w:b/>
          <w:sz w:val="24"/>
          <w:szCs w:val="24"/>
        </w:rPr>
      </w:pPr>
      <w:r>
        <w:rPr>
          <w:b/>
          <w:sz w:val="24"/>
          <w:szCs w:val="24"/>
        </w:rPr>
        <w:t>Project Summary Information</w:t>
      </w:r>
    </w:p>
    <w:p w14:paraId="65B2D892" w14:textId="77777777">
      <w:pPr>
        <w:pStyle w:val="Heading2"/>
        <w:pageBreakBefore/>
        <w:rPr>
          <w:rFonts w:asciiTheme="minorHAnsi" w:hAnsiTheme="minorHAnsi"/>
          <w:i w:val="false"/>
        </w:rPr>
        <w:sectPr>
          <w:pgSz w:w="15840" w:h="12240" w:orient="landscape" w:code="1"/>
          <w:pgMar w:top="1440" w:right="1440" w:bottom="1440" w:left="1440" w:header="720" w:footer="720" w:gutter="0"/>
          <w:cols w:space="720"/>
          <w:docGrid w:linePitch="360"/>
        </w:sectPr>
      </w:pPr>
    </w:p>
    <w:tb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Pr>
      <w:tblGrid/>
      <w:tr>
        <w:trPr>
          <w:cantSplit w:val="true"/>
        </w:trPr>
        <w:tc>
          <w:tcPr>
            <w:vMerge w:val="restart"/>
          </w:tcPr>
          <w:p>
            <w:r>
              <w:rPr>
                <w:b w:val="true"/>
              </w:rPr>
              <w:t>1</w:t>
            </w:r>
          </w:p>
        </w:tc>
        <w:tc>
          <w:p w14:paraId="0997E3C8" w14:textId="77777777">
            <w:pPr>
              <w:keepNext w:val="true"/>
              <w:spacing w:before="100" w:after="0"/>
              <w:rPr>
                <w:b/>
              </w:rPr>
            </w:pPr>
            <w:r>
              <w:rPr>
                <w:b/>
              </w:rPr>
              <w:t>Project Name</w:t>
            </w:r>
          </w:p>
        </w:tc>
        <w:tc>
          <w:p>
            <w:pPr>
              <w:spacing w:before="100" w:after="0"/>
            </w:pPr>
            <w:r>
              <w:rPr>
                <w:rFonts w:ascii="Calibri" w:hAnsi="Calibri"/>
                <w:color w:val="000000"/>
                <w:sz w:val="22"/>
              </w:rPr>
              <w:t xml:space="preserve">Program Administration</w:t>
            </w:r>
          </w:p>
        </w:tc>
      </w:tr>
      <w:tr>
        <w:trPr>
          <w:cantSplit w:val="true"/>
        </w:trPr>
        <w:tc>
          <w:tcPr>
            <w:vMerge/>
          </w:tcPr>
          <w:p/>
        </w:tc>
        <w:tc>
          <w:p w14:paraId="230A3019" w14:textId="77777777">
            <w:pPr>
              <w:keepNext w:val="true"/>
              <w:spacing w:before="100" w:after="0"/>
              <w:rPr>
                <w:b/>
              </w:rPr>
            </w:pPr>
            <w:r>
              <w:rPr>
                <w:b/>
              </w:rPr>
              <w:t>Target Area</w:t>
            </w:r>
          </w:p>
        </w:tc>
        <w:tc>
          <w:p>
            <w:pPr>
              <w:spacing w:before="100" w:after="0"/>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r>
      <w:tr>
        <w:trPr>
          <w:cantSplit w:val="true"/>
        </w:trPr>
        <w:tc>
          <w:tcPr>
            <w:vMerge/>
          </w:tcPr>
          <w:p/>
        </w:tc>
        <w:tc>
          <w:p w14:paraId="58E3EAA6" w14:textId="77777777">
            <w:pPr>
              <w:keepNext w:val="true"/>
              <w:spacing w:before="100" w:after="0"/>
              <w:rPr>
                <w:b/>
              </w:rPr>
            </w:pPr>
            <w:r>
              <w:rPr>
                <w:b/>
              </w:rPr>
              <w:t>Goals Supported</w:t>
            </w:r>
          </w:p>
        </w:tc>
        <w:tc>
          <w:p>
            <w:pPr>
              <w:spacing w:before="100" w:after="0"/>
            </w:pPr>
            <w:r>
              <w:rPr>
                <w:rFonts w:ascii="Calibri" w:hAnsi="Calibri"/>
                <w:color w:val="000000"/>
                <w:sz w:val="22"/>
              </w:rPr>
              <w:t xml:space="preserve">HP-1 Homeless Prevention</w:t>
            </w:r>
            <w:r>
              <w:rPr>
                <w:rFonts w:ascii="Calibri" w:hAnsi="Calibri"/>
                <w:color w:val="000000"/>
                <w:sz w:val="22"/>
              </w:rPr>
              <w:br/>
              <w:t xml:space="preserve"/>
            </w:r>
            <w:r>
              <w:rPr>
                <w:rFonts w:ascii="Calibri" w:hAnsi="Calibri"/>
                <w:color w:val="000000"/>
                <w:sz w:val="22"/>
              </w:rPr>
              <w:t xml:space="preserve">AH-1 Affordable Housing</w:t>
            </w:r>
            <w:r>
              <w:rPr>
                <w:rFonts w:ascii="Calibri" w:hAnsi="Calibri"/>
                <w:color w:val="000000"/>
                <w:sz w:val="22"/>
              </w:rPr>
              <w:br/>
              <w:t xml:space="preserve"/>
            </w:r>
            <w:r>
              <w:rPr>
                <w:rFonts w:ascii="Calibri" w:hAnsi="Calibri"/>
                <w:color w:val="000000"/>
                <w:sz w:val="22"/>
              </w:rPr>
              <w:t xml:space="preserve">AH=2 Affordable Housing</w:t>
            </w:r>
            <w:r>
              <w:rPr>
                <w:rFonts w:ascii="Calibri" w:hAnsi="Calibri"/>
                <w:color w:val="000000"/>
                <w:sz w:val="22"/>
              </w:rPr>
              <w:br/>
              <w:t xml:space="preserve"/>
            </w:r>
            <w:r>
              <w:rPr>
                <w:rFonts w:ascii="Calibri" w:hAnsi="Calibri"/>
                <w:color w:val="000000"/>
                <w:sz w:val="22"/>
              </w:rPr>
              <w:t xml:space="preserve">AH-3 Affordable Housing</w:t>
            </w:r>
            <w:r>
              <w:rPr>
                <w:rFonts w:ascii="Calibri" w:hAnsi="Calibri"/>
                <w:color w:val="000000"/>
                <w:sz w:val="22"/>
              </w:rPr>
              <w:br/>
              <w:t xml:space="preserve"/>
            </w:r>
            <w:r>
              <w:rPr>
                <w:rFonts w:ascii="Calibri" w:hAnsi="Calibri"/>
                <w:color w:val="000000"/>
                <w:sz w:val="22"/>
              </w:rPr>
              <w:t xml:space="preserve">AH-4 Affordable Housing</w:t>
            </w:r>
          </w:p>
        </w:tc>
      </w:tr>
      <w:tr>
        <w:trPr>
          <w:cantSplit w:val="true"/>
        </w:trPr>
        <w:tc>
          <w:tcPr>
            <w:vMerge/>
          </w:tcPr>
          <w:p/>
        </w:tc>
        <w:tc>
          <w:p w14:paraId="3AADCBA8" w14:textId="77777777">
            <w:pPr>
              <w:keepNext w:val="true"/>
              <w:spacing w:before="100" w:after="0"/>
              <w:rPr>
                <w:b/>
              </w:rPr>
            </w:pPr>
            <w:r>
              <w:rPr>
                <w:b/>
              </w:rPr>
              <w:t>Needs Addressed</w:t>
            </w:r>
          </w:p>
        </w:tc>
        <w:tc>
          <w:p>
            <w:pPr>
              <w:spacing w:before="100" w:after="0"/>
            </w:pPr>
            <w:r>
              <w:rPr>
                <w:rFonts w:ascii="Calibri" w:hAnsi="Calibri"/>
                <w:color w:val="000000"/>
                <w:sz w:val="22"/>
              </w:rPr>
              <w:t xml:space="preserve">Homelessness</w:t>
            </w:r>
            <w:r>
              <w:rPr>
                <w:rFonts w:ascii="Calibri" w:hAnsi="Calibri"/>
                <w:color w:val="000000"/>
                <w:sz w:val="22"/>
              </w:rPr>
              <w:br/>
              <w:t xml:space="preserve"/>
            </w:r>
            <w:r>
              <w:rPr>
                <w:rFonts w:ascii="Calibri" w:hAnsi="Calibri"/>
                <w:color w:val="000000"/>
                <w:sz w:val="22"/>
              </w:rPr>
              <w:t xml:space="preserve">Homeowner Rehabilitation</w:t>
            </w:r>
            <w:r>
              <w:rPr>
                <w:rFonts w:ascii="Calibri" w:hAnsi="Calibri"/>
                <w:color w:val="000000"/>
                <w:sz w:val="22"/>
              </w:rPr>
              <w:br/>
              <w:t xml:space="preserve"/>
            </w:r>
            <w:r>
              <w:rPr>
                <w:rFonts w:ascii="Calibri" w:hAnsi="Calibri"/>
                <w:color w:val="000000"/>
                <w:sz w:val="22"/>
              </w:rPr>
              <w:t xml:space="preserve">Homeownership Assistance</w:t>
            </w:r>
            <w:r>
              <w:rPr>
                <w:rFonts w:ascii="Calibri" w:hAnsi="Calibri"/>
                <w:color w:val="000000"/>
                <w:sz w:val="22"/>
              </w:rPr>
              <w:br/>
              <w:t xml:space="preserve"/>
            </w:r>
            <w:r>
              <w:rPr>
                <w:rFonts w:ascii="Calibri" w:hAnsi="Calibri"/>
                <w:color w:val="000000"/>
                <w:sz w:val="22"/>
              </w:rPr>
              <w:t xml:space="preserve">Affordable Housing</w:t>
            </w:r>
            <w:r>
              <w:rPr>
                <w:rFonts w:ascii="Calibri" w:hAnsi="Calibri"/>
                <w:color w:val="000000"/>
                <w:sz w:val="22"/>
              </w:rPr>
              <w:br/>
              <w:t xml:space="preserve"/>
            </w:r>
            <w:r>
              <w:rPr>
                <w:rFonts w:ascii="Calibri" w:hAnsi="Calibri"/>
                <w:color w:val="000000"/>
                <w:sz w:val="22"/>
              </w:rPr>
              <w:t xml:space="preserve">Public Services</w:t>
            </w:r>
          </w:p>
        </w:tc>
      </w:tr>
      <w:tr>
        <w:trPr>
          <w:cantSplit w:val="true"/>
        </w:trPr>
        <w:tc>
          <w:tcPr>
            <w:vMerge/>
          </w:tcPr>
          <w:p/>
        </w:tc>
        <w:tc>
          <w:p w14:paraId="386AAE58" w14:textId="77777777">
            <w:pPr>
              <w:keepNext w:val="true"/>
              <w:spacing w:before="100" w:after="0"/>
              <w:rPr>
                <w:b/>
              </w:rPr>
            </w:pPr>
            <w:r>
              <w:rPr>
                <w:b/>
              </w:rPr>
              <w:t>Funding</w:t>
            </w:r>
          </w:p>
        </w:tc>
        <w:tc>
          <w:p>
            <w:pPr>
              <w:spacing w:before="100" w:after="0"/>
            </w:pPr>
            <w:r>
              <w:rPr>
                <w:rFonts w:ascii="Calibri" w:hAnsi="Calibri"/>
                <w:color w:val="000000"/>
                <w:sz w:val="22"/>
              </w:rPr>
              <w:t xml:space="preserve">CDBG: $60,000.00</w:t>
            </w:r>
          </w:p>
        </w:tc>
      </w:tr>
      <w:tr>
        <w:trPr>
          <w:cantSplit w:val="true"/>
        </w:trPr>
        <w:tc>
          <w:tcPr>
            <w:vMerge/>
          </w:tcPr>
          <w:p/>
        </w:tc>
        <w:tc>
          <w:p w14:paraId="6FAF364A" w14:textId="77777777">
            <w:pPr>
              <w:keepNext w:val="true"/>
              <w:spacing w:before="100" w:after="0"/>
              <w:rPr>
                <w:b/>
              </w:rPr>
            </w:pPr>
            <w:r>
              <w:rPr>
                <w:b/>
              </w:rPr>
              <w:t>Description</w:t>
            </w:r>
          </w:p>
        </w:tc>
        <w:tc>
          <w:p>
            <w:pPr>
              <w:spacing w:before="100" w:after="0"/>
            </w:pPr>
            <w:r>
              <w:rPr>
                <w:rFonts w:ascii="Calibri" w:hAnsi="Calibri"/>
                <w:color w:val="000000"/>
                <w:sz w:val="22"/>
              </w:rPr>
              <w:t xml:space="preserve">CDBG funds will be used for the administration and management of the City's CDBG program, including oversight, reporting, and compliance.</w:t>
            </w:r>
          </w:p>
        </w:tc>
      </w:tr>
      <w:tr>
        <w:trPr>
          <w:cantSplit w:val="true"/>
        </w:trPr>
        <w:tc>
          <w:tcPr>
            <w:vMerge/>
          </w:tcPr>
          <w:p/>
        </w:tc>
        <w:tc>
          <w:p w14:paraId="2FC2AA4C" w14:textId="77777777">
            <w:pPr>
              <w:keepNext w:val="true"/>
              <w:spacing w:before="100" w:after="0"/>
              <w:rPr>
                <w:b/>
              </w:rPr>
            </w:pPr>
            <w:r>
              <w:rPr>
                <w:b/>
              </w:rPr>
              <w:t>Target Date</w:t>
            </w:r>
          </w:p>
        </w:tc>
        <w:tc>
          <w:p>
            <w:pPr>
              <w:spacing w:before="100" w:after="0"/>
            </w:pPr>
            <w:r>
              <w:rPr>
                <w:rFonts w:ascii="Calibri" w:hAnsi="Calibri"/>
                <w:color w:val="000000"/>
                <w:sz w:val="22"/>
              </w:rPr>
              <w:t xml:space="preserve">6/30/2027</w:t>
            </w:r>
          </w:p>
        </w:tc>
      </w:tr>
      <w:tr>
        <w:trPr>
          <w:cantSplit w:val="true"/>
        </w:trPr>
        <w:tc>
          <w:tcPr>
            <w:vMerge/>
          </w:tcPr>
          <w:p/>
        </w:tc>
        <w:tc>
          <w:p w14:paraId="5A0BF15C" w14:textId="77777777">
            <w:pPr>
              <w:keepNext w:val="true"/>
              <w:spacing w:before="100" w:after="0"/>
              <w:rPr>
                <w:rFonts w:asciiTheme="minorHAnsi" w:hAnsiTheme="minorHAnsi"/>
                <w:b/>
              </w:rPr>
            </w:pPr>
            <w:r>
              <w:rPr>
                <w:rStyle w:val="Strong"/>
                <w:rFonts w:asciiTheme="minorHAnsi" w:hAnsiTheme="minorHAnsi"/>
              </w:rPr>
              <w:t>Estimate the number and type of families that will benefit from the proposed activities</w:t>
            </w:r>
          </w:p>
        </w:tc>
        <w:tc>
          <w:p>
            <w:pPr>
              <w:spacing w:before="100" w:after="0"/>
            </w:pPr>
            <w:r>
              <w:rPr>
                <w:rFonts w:ascii="Calibri" w:hAnsi="Calibri"/>
                <w:color w:val="000000"/>
                <w:sz w:val="22"/>
              </w:rPr>
              <w:t xml:space="preserve">Not applicable. Administrative activities support the overall delivery and compliance of CDBG-funded programs benefiting low- and moderate-income residents citywide.</w:t>
            </w:r>
          </w:p>
        </w:tc>
      </w:tr>
      <w:tr>
        <w:trPr>
          <w:cantSplit w:val="true"/>
        </w:trPr>
        <w:tc>
          <w:tcPr>
            <w:vMerge/>
          </w:tcPr>
          <w:p/>
        </w:tc>
        <w:tc>
          <w:p w14:paraId="173748C4" w14:textId="77777777">
            <w:pPr>
              <w:keepNext w:val="true"/>
              <w:spacing w:before="100" w:after="0"/>
              <w:rPr>
                <w:rFonts w:asciiTheme="minorHAnsi" w:hAnsiTheme="minorHAnsi"/>
                <w:b/>
              </w:rPr>
            </w:pPr>
            <w:r>
              <w:rPr>
                <w:rStyle w:val="Strong"/>
                <w:rFonts w:asciiTheme="minorHAnsi" w:hAnsiTheme="minorHAnsi"/>
              </w:rPr>
              <w:t>Location Description</w:t>
            </w:r>
          </w:p>
        </w:tc>
        <w:tc>
          <w:p>
            <w:pPr>
              <w:spacing w:before="100" w:after="0"/>
            </w:pPr>
            <w:r>
              <w:rPr>
                <w:rFonts w:ascii="Calibri" w:hAnsi="Calibri"/>
                <w:color w:val="000000"/>
                <w:sz w:val="22"/>
              </w:rPr>
              <w:t xml:space="preserve">Citywide</w:t>
            </w:r>
          </w:p>
        </w:tc>
      </w:tr>
      <w:tr>
        <w:trPr>
          <w:cantSplit w:val="true"/>
        </w:trPr>
        <w:tc>
          <w:tcPr>
            <w:vMerge/>
          </w:tcPr>
          <w:p/>
        </w:tc>
        <w:tc>
          <w:p w14:paraId="3EEF41B9" w14:textId="77777777">
            <w:pPr>
              <w:keepNext w:val="true"/>
              <w:spacing w:before="100" w:after="0"/>
              <w:rPr>
                <w:rFonts w:asciiTheme="minorHAnsi" w:hAnsiTheme="minorHAnsi"/>
                <w:b/>
              </w:rPr>
            </w:pPr>
            <w:r>
              <w:rPr>
                <w:rStyle w:val="Strong"/>
                <w:rFonts w:asciiTheme="minorHAnsi" w:hAnsiTheme="minorHAnsi"/>
              </w:rPr>
              <w:t>Planned Activities</w:t>
            </w:r>
          </w:p>
        </w:tc>
        <w:tc>
          <w:p>
            <w:pPr>
              <w:spacing w:before="100" w:after="0"/>
            </w:pPr>
            <w:r>
              <w:rPr>
                <w:rFonts w:ascii="Calibri" w:hAnsi="Calibri"/>
                <w:color w:val="000000"/>
                <w:sz w:val="22"/>
              </w:rPr>
              <w:t xml:space="preserve">Program management, environmental review, reporting, and coordination.</w:t>
            </w:r>
          </w:p>
        </w:tc>
      </w:tr>
      <w:tr>
        <w:trPr>
          <w:cantSplit w:val="true"/>
        </w:trPr>
        <w:tc>
          <w:tcPr>
            <w:vMerge w:val="restart"/>
          </w:tcPr>
          <w:p>
            <w:r>
              <w:rPr>
                <w:b w:val="true"/>
              </w:rPr>
              <w:t>2</w:t>
            </w:r>
          </w:p>
        </w:tc>
        <w:tc>
          <w:p w14:paraId="0997E3C8" w14:textId="77777777">
            <w:pPr>
              <w:keepNext w:val="true"/>
              <w:spacing w:before="100" w:after="0"/>
              <w:rPr>
                <w:b/>
              </w:rPr>
            </w:pPr>
            <w:r>
              <w:rPr>
                <w:b/>
              </w:rPr>
              <w:t>Project Name</w:t>
            </w:r>
          </w:p>
        </w:tc>
        <w:tc>
          <w:p>
            <w:pPr>
              <w:spacing w:before="100" w:after="0"/>
            </w:pPr>
            <w:r>
              <w:rPr>
                <w:rFonts w:ascii="Calibri" w:hAnsi="Calibri"/>
                <w:color w:val="000000"/>
                <w:sz w:val="22"/>
              </w:rPr>
              <w:t xml:space="preserve">Homeownership Assistance Program</w:t>
            </w:r>
          </w:p>
        </w:tc>
      </w:tr>
      <w:tr>
        <w:trPr>
          <w:cantSplit w:val="true"/>
        </w:trPr>
        <w:tc>
          <w:tcPr>
            <w:vMerge/>
          </w:tcPr>
          <w:p/>
        </w:tc>
        <w:tc>
          <w:p w14:paraId="230A3019" w14:textId="77777777">
            <w:pPr>
              <w:keepNext w:val="true"/>
              <w:spacing w:before="100" w:after="0"/>
              <w:rPr>
                <w:b/>
              </w:rPr>
            </w:pPr>
            <w:r>
              <w:rPr>
                <w:b/>
              </w:rPr>
              <w:t>Target Area</w:t>
            </w:r>
          </w:p>
        </w:tc>
        <w:tc>
          <w:p>
            <w:pPr>
              <w:spacing w:before="100" w:after="0"/>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r>
      <w:tr>
        <w:trPr>
          <w:cantSplit w:val="true"/>
        </w:trPr>
        <w:tc>
          <w:tcPr>
            <w:vMerge/>
          </w:tcPr>
          <w:p/>
        </w:tc>
        <w:tc>
          <w:p w14:paraId="58E3EAA6" w14:textId="77777777">
            <w:pPr>
              <w:keepNext w:val="true"/>
              <w:spacing w:before="100" w:after="0"/>
              <w:rPr>
                <w:b/>
              </w:rPr>
            </w:pPr>
            <w:r>
              <w:rPr>
                <w:b/>
              </w:rPr>
              <w:t>Goals Supported</w:t>
            </w:r>
          </w:p>
        </w:tc>
        <w:tc>
          <w:p>
            <w:pPr>
              <w:spacing w:before="100" w:after="0"/>
            </w:pPr>
            <w:r>
              <w:rPr>
                <w:rFonts w:ascii="Calibri" w:hAnsi="Calibri"/>
                <w:color w:val="000000"/>
                <w:sz w:val="22"/>
              </w:rPr>
              <w:t xml:space="preserve">AH-1 Affordable Housing</w:t>
            </w:r>
          </w:p>
        </w:tc>
      </w:tr>
      <w:tr>
        <w:trPr>
          <w:cantSplit w:val="true"/>
        </w:trPr>
        <w:tc>
          <w:tcPr>
            <w:vMerge/>
          </w:tcPr>
          <w:p/>
        </w:tc>
        <w:tc>
          <w:p w14:paraId="3AADCBA8" w14:textId="77777777">
            <w:pPr>
              <w:keepNext w:val="true"/>
              <w:spacing w:before="100" w:after="0"/>
              <w:rPr>
                <w:b/>
              </w:rPr>
            </w:pPr>
            <w:r>
              <w:rPr>
                <w:b/>
              </w:rPr>
              <w:t>Needs Addressed</w:t>
            </w:r>
          </w:p>
        </w:tc>
        <w:tc>
          <w:p>
            <w:pPr>
              <w:spacing w:before="100" w:after="0"/>
            </w:pPr>
            <w:r>
              <w:rPr>
                <w:rFonts w:ascii="Calibri" w:hAnsi="Calibri"/>
                <w:color w:val="000000"/>
                <w:sz w:val="22"/>
              </w:rPr>
              <w:t xml:space="preserve">Homeownership Assistance</w:t>
            </w:r>
          </w:p>
        </w:tc>
      </w:tr>
      <w:tr>
        <w:trPr>
          <w:cantSplit w:val="true"/>
        </w:trPr>
        <w:tc>
          <w:tcPr>
            <w:vMerge/>
          </w:tcPr>
          <w:p/>
        </w:tc>
        <w:tc>
          <w:p w14:paraId="386AAE58" w14:textId="77777777">
            <w:pPr>
              <w:keepNext w:val="true"/>
              <w:spacing w:before="100" w:after="0"/>
              <w:rPr>
                <w:b/>
              </w:rPr>
            </w:pPr>
            <w:r>
              <w:rPr>
                <w:b/>
              </w:rPr>
              <w:t>Funding</w:t>
            </w:r>
          </w:p>
        </w:tc>
        <w:tc>
          <w:p>
            <w:pPr>
              <w:spacing w:before="100" w:after="0"/>
            </w:pPr>
            <w:r>
              <w:rPr>
                <w:rFonts w:ascii="Calibri" w:hAnsi="Calibri"/>
                <w:color w:val="000000"/>
                <w:sz w:val="22"/>
              </w:rPr>
              <w:t xml:space="preserve">CDBG: $80,000.00</w:t>
            </w:r>
          </w:p>
        </w:tc>
      </w:tr>
      <w:tr>
        <w:trPr>
          <w:cantSplit w:val="true"/>
        </w:trPr>
        <w:tc>
          <w:tcPr>
            <w:vMerge/>
          </w:tcPr>
          <w:p/>
        </w:tc>
        <w:tc>
          <w:p w14:paraId="6FAF364A" w14:textId="77777777">
            <w:pPr>
              <w:keepNext w:val="true"/>
              <w:spacing w:before="100" w:after="0"/>
              <w:rPr>
                <w:b/>
              </w:rPr>
            </w:pPr>
            <w:r>
              <w:rPr>
                <w:b/>
              </w:rPr>
              <w:t>Description</w:t>
            </w:r>
          </w:p>
        </w:tc>
        <w:tc>
          <w:p>
            <w:pPr>
              <w:spacing w:before="100" w:after="0"/>
            </w:pPr>
            <w:r>
              <w:rPr>
                <w:rFonts w:ascii="Calibri" w:hAnsi="Calibri"/>
                <w:color w:val="000000"/>
                <w:sz w:val="22"/>
              </w:rPr>
              <w:t xml:space="preserve">CDBG funds will be used to provide down payment and closing cost assistance to eligible low- and moderate-income first-time homebuyers purchasing homes within the City of Dover.</w:t>
            </w:r>
          </w:p>
        </w:tc>
      </w:tr>
      <w:tr>
        <w:trPr>
          <w:cantSplit w:val="true"/>
        </w:trPr>
        <w:tc>
          <w:tcPr>
            <w:vMerge/>
          </w:tcPr>
          <w:p/>
        </w:tc>
        <w:tc>
          <w:p w14:paraId="2FC2AA4C" w14:textId="77777777">
            <w:pPr>
              <w:keepNext w:val="true"/>
              <w:spacing w:before="100" w:after="0"/>
              <w:rPr>
                <w:b/>
              </w:rPr>
            </w:pPr>
            <w:r>
              <w:rPr>
                <w:b/>
              </w:rPr>
              <w:t>Target Date</w:t>
            </w:r>
          </w:p>
        </w:tc>
        <w:tc>
          <w:p>
            <w:pPr>
              <w:spacing w:before="100" w:after="0"/>
            </w:pPr>
            <w:r>
              <w:rPr>
                <w:rFonts w:ascii="Calibri" w:hAnsi="Calibri"/>
                <w:color w:val="000000"/>
                <w:sz w:val="22"/>
              </w:rPr>
              <w:t xml:space="preserve">6/30/2027</w:t>
            </w:r>
          </w:p>
        </w:tc>
      </w:tr>
      <w:tr>
        <w:trPr>
          <w:cantSplit w:val="true"/>
        </w:trPr>
        <w:tc>
          <w:tcPr>
            <w:vMerge/>
          </w:tcPr>
          <w:p/>
        </w:tc>
        <w:tc>
          <w:p w14:paraId="5A0BF15C" w14:textId="77777777">
            <w:pPr>
              <w:keepNext w:val="true"/>
              <w:spacing w:before="100" w:after="0"/>
              <w:rPr>
                <w:rFonts w:asciiTheme="minorHAnsi" w:hAnsiTheme="minorHAnsi"/>
                <w:b/>
              </w:rPr>
            </w:pPr>
            <w:r>
              <w:rPr>
                <w:rStyle w:val="Strong"/>
                <w:rFonts w:asciiTheme="minorHAnsi" w:hAnsiTheme="minorHAnsi"/>
              </w:rPr>
              <w:t>Estimate the number and type of families that will benefit from the proposed activities</w:t>
            </w:r>
          </w:p>
        </w:tc>
        <w:tc>
          <w:p>
            <w:pPr>
              <w:spacing w:before="100" w:after="0"/>
            </w:pPr>
            <w:r>
              <w:rPr>
                <w:rFonts w:ascii="Calibri" w:hAnsi="Calibri"/>
                <w:color w:val="000000"/>
                <w:sz w:val="22"/>
              </w:rPr>
              <w:t xml:space="preserve">Approximately 4 low- and moderate-income households.</w:t>
            </w:r>
          </w:p>
        </w:tc>
      </w:tr>
      <w:tr>
        <w:trPr>
          <w:cantSplit w:val="true"/>
        </w:trPr>
        <w:tc>
          <w:tcPr>
            <w:vMerge/>
          </w:tcPr>
          <w:p/>
        </w:tc>
        <w:tc>
          <w:p w14:paraId="173748C4" w14:textId="77777777">
            <w:pPr>
              <w:keepNext w:val="true"/>
              <w:spacing w:before="100" w:after="0"/>
              <w:rPr>
                <w:rFonts w:asciiTheme="minorHAnsi" w:hAnsiTheme="minorHAnsi"/>
                <w:b/>
              </w:rPr>
            </w:pPr>
            <w:r>
              <w:rPr>
                <w:rStyle w:val="Strong"/>
                <w:rFonts w:asciiTheme="minorHAnsi" w:hAnsiTheme="minorHAnsi"/>
              </w:rPr>
              <w:t>Location Description</w:t>
            </w:r>
          </w:p>
        </w:tc>
        <w:tc>
          <w:p>
            <w:pPr>
              <w:spacing w:before="100" w:after="0"/>
            </w:pPr>
            <w:r>
              <w:rPr>
                <w:rFonts w:ascii="Calibri" w:hAnsi="Calibri"/>
                <w:color w:val="000000"/>
                <w:sz w:val="22"/>
              </w:rPr>
              <w:t xml:space="preserve">Citywide</w:t>
            </w:r>
          </w:p>
        </w:tc>
      </w:tr>
      <w:tr>
        <w:trPr>
          <w:cantSplit w:val="true"/>
        </w:trPr>
        <w:tc>
          <w:tcPr>
            <w:vMerge/>
          </w:tcPr>
          <w:p/>
        </w:tc>
        <w:tc>
          <w:p w14:paraId="3EEF41B9" w14:textId="77777777">
            <w:pPr>
              <w:keepNext w:val="true"/>
              <w:spacing w:before="100" w:after="0"/>
              <w:rPr>
                <w:rFonts w:asciiTheme="minorHAnsi" w:hAnsiTheme="minorHAnsi"/>
                <w:b/>
              </w:rPr>
            </w:pPr>
            <w:r>
              <w:rPr>
                <w:rStyle w:val="Strong"/>
                <w:rFonts w:asciiTheme="minorHAnsi" w:hAnsiTheme="minorHAnsi"/>
              </w:rPr>
              <w:t>Planned Activities</w:t>
            </w:r>
          </w:p>
        </w:tc>
        <w:tc>
          <w:p>
            <w:pPr>
              <w:spacing w:before="100" w:after="0"/>
            </w:pPr>
            <w:r>
              <w:rPr>
                <w:rFonts w:ascii="Calibri" w:hAnsi="Calibri"/>
                <w:color w:val="000000"/>
                <w:sz w:val="22"/>
              </w:rPr>
              <w:t xml:space="preserve">Financial assistance will be provided to eligible households to support the purchase of affordable housing.</w:t>
            </w:r>
          </w:p>
        </w:tc>
      </w:tr>
      <w:tr>
        <w:trPr>
          <w:cantSplit w:val="true"/>
        </w:trPr>
        <w:tc>
          <w:tcPr>
            <w:vMerge w:val="restart"/>
          </w:tcPr>
          <w:p>
            <w:r>
              <w:rPr>
                <w:b w:val="true"/>
              </w:rPr>
              <w:t>3</w:t>
            </w:r>
          </w:p>
        </w:tc>
        <w:tc>
          <w:p w14:paraId="0997E3C8" w14:textId="77777777">
            <w:pPr>
              <w:keepNext w:val="true"/>
              <w:spacing w:before="100" w:after="0"/>
              <w:rPr>
                <w:b/>
              </w:rPr>
            </w:pPr>
            <w:r>
              <w:rPr>
                <w:b/>
              </w:rPr>
              <w:t>Project Name</w:t>
            </w:r>
          </w:p>
        </w:tc>
        <w:tc>
          <w:p>
            <w:pPr>
              <w:spacing w:before="100" w:after="0"/>
            </w:pPr>
            <w:r>
              <w:rPr>
                <w:rFonts w:ascii="Calibri" w:hAnsi="Calibri"/>
                <w:color w:val="000000"/>
                <w:sz w:val="22"/>
              </w:rPr>
              <w:t xml:space="preserve">CDHC House of Hope Operations</w:t>
            </w:r>
          </w:p>
        </w:tc>
      </w:tr>
      <w:tr>
        <w:trPr>
          <w:cantSplit w:val="true"/>
        </w:trPr>
        <w:tc>
          <w:tcPr>
            <w:vMerge/>
          </w:tcPr>
          <w:p/>
        </w:tc>
        <w:tc>
          <w:p w14:paraId="230A3019" w14:textId="77777777">
            <w:pPr>
              <w:keepNext w:val="true"/>
              <w:spacing w:before="100" w:after="0"/>
              <w:rPr>
                <w:b/>
              </w:rPr>
            </w:pPr>
            <w:r>
              <w:rPr>
                <w:b/>
              </w:rPr>
              <w:t>Target Area</w:t>
            </w:r>
          </w:p>
        </w:tc>
        <w:tc>
          <w:p>
            <w:pPr>
              <w:spacing w:before="100" w:after="0"/>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r>
      <w:tr>
        <w:trPr>
          <w:cantSplit w:val="true"/>
        </w:trPr>
        <w:tc>
          <w:tcPr>
            <w:vMerge/>
          </w:tcPr>
          <w:p/>
        </w:tc>
        <w:tc>
          <w:p w14:paraId="58E3EAA6" w14:textId="77777777">
            <w:pPr>
              <w:keepNext w:val="true"/>
              <w:spacing w:before="100" w:after="0"/>
              <w:rPr>
                <w:b/>
              </w:rPr>
            </w:pPr>
            <w:r>
              <w:rPr>
                <w:b/>
              </w:rPr>
              <w:t>Goals Supported</w:t>
            </w:r>
          </w:p>
        </w:tc>
        <w:tc>
          <w:p>
            <w:pPr>
              <w:spacing w:before="100" w:after="0"/>
            </w:pPr>
            <w:r>
              <w:rPr>
                <w:rFonts w:ascii="Calibri" w:hAnsi="Calibri"/>
                <w:color w:val="000000"/>
                <w:sz w:val="22"/>
              </w:rPr>
              <w:t xml:space="preserve">HP-1 Homeless Prevention</w:t>
            </w:r>
          </w:p>
        </w:tc>
      </w:tr>
      <w:tr>
        <w:trPr>
          <w:cantSplit w:val="true"/>
        </w:trPr>
        <w:tc>
          <w:tcPr>
            <w:vMerge/>
          </w:tcPr>
          <w:p/>
        </w:tc>
        <w:tc>
          <w:p w14:paraId="3AADCBA8" w14:textId="77777777">
            <w:pPr>
              <w:keepNext w:val="true"/>
              <w:spacing w:before="100" w:after="0"/>
              <w:rPr>
                <w:b/>
              </w:rPr>
            </w:pPr>
            <w:r>
              <w:rPr>
                <w:b/>
              </w:rPr>
              <w:t>Needs Addressed</w:t>
            </w:r>
          </w:p>
        </w:tc>
        <w:tc>
          <w:p>
            <w:pPr>
              <w:spacing w:before="100" w:after="0"/>
            </w:pPr>
            <w:r>
              <w:rPr>
                <w:rFonts w:ascii="Calibri" w:hAnsi="Calibri"/>
                <w:color w:val="000000"/>
                <w:sz w:val="22"/>
              </w:rPr>
              <w:t xml:space="preserve">Homelessness</w:t>
            </w:r>
          </w:p>
        </w:tc>
      </w:tr>
      <w:tr>
        <w:trPr>
          <w:cantSplit w:val="true"/>
        </w:trPr>
        <w:tc>
          <w:tcPr>
            <w:vMerge/>
          </w:tcPr>
          <w:p/>
        </w:tc>
        <w:tc>
          <w:p w14:paraId="386AAE58" w14:textId="77777777">
            <w:pPr>
              <w:keepNext w:val="true"/>
              <w:spacing w:before="100" w:after="0"/>
              <w:rPr>
                <w:b/>
              </w:rPr>
            </w:pPr>
            <w:r>
              <w:rPr>
                <w:b/>
              </w:rPr>
              <w:t>Funding</w:t>
            </w:r>
          </w:p>
        </w:tc>
        <w:tc>
          <w:p>
            <w:pPr>
              <w:spacing w:before="100" w:after="0"/>
            </w:pPr>
            <w:r>
              <w:rPr>
                <w:rFonts w:ascii="Calibri" w:hAnsi="Calibri"/>
                <w:color w:val="000000"/>
                <w:sz w:val="22"/>
              </w:rPr>
              <w:t xml:space="preserve">CDBG: $43,961.00</w:t>
            </w:r>
          </w:p>
        </w:tc>
      </w:tr>
      <w:tr>
        <w:trPr>
          <w:cantSplit w:val="true"/>
        </w:trPr>
        <w:tc>
          <w:tcPr>
            <w:vMerge/>
          </w:tcPr>
          <w:p/>
        </w:tc>
        <w:tc>
          <w:p w14:paraId="6FAF364A" w14:textId="77777777">
            <w:pPr>
              <w:keepNext w:val="true"/>
              <w:spacing w:before="100" w:after="0"/>
              <w:rPr>
                <w:b/>
              </w:rPr>
            </w:pPr>
            <w:r>
              <w:rPr>
                <w:b/>
              </w:rPr>
              <w:t>Description</w:t>
            </w:r>
          </w:p>
        </w:tc>
        <w:tc>
          <w:p>
            <w:pPr>
              <w:spacing w:before="100" w:after="0"/>
            </w:pPr>
            <w:r>
              <w:rPr>
                <w:rFonts w:ascii="Calibri" w:hAnsi="Calibri"/>
                <w:color w:val="000000"/>
                <w:sz w:val="22"/>
              </w:rPr>
              <w:t xml:space="preserve">CDBG funds will support operational costs for programs serving individuals experiencing homelessness, including shelter services and case management.</w:t>
            </w:r>
          </w:p>
        </w:tc>
      </w:tr>
      <w:tr>
        <w:trPr>
          <w:cantSplit w:val="true"/>
        </w:trPr>
        <w:tc>
          <w:tcPr>
            <w:vMerge/>
          </w:tcPr>
          <w:p/>
        </w:tc>
        <w:tc>
          <w:p w14:paraId="2FC2AA4C" w14:textId="77777777">
            <w:pPr>
              <w:keepNext w:val="true"/>
              <w:spacing w:before="100" w:after="0"/>
              <w:rPr>
                <w:b/>
              </w:rPr>
            </w:pPr>
            <w:r>
              <w:rPr>
                <w:b/>
              </w:rPr>
              <w:t>Target Date</w:t>
            </w:r>
          </w:p>
        </w:tc>
        <w:tc>
          <w:p>
            <w:pPr>
              <w:spacing w:before="100" w:after="0"/>
            </w:pPr>
            <w:r>
              <w:rPr>
                <w:rFonts w:ascii="Calibri" w:hAnsi="Calibri"/>
                <w:color w:val="000000"/>
                <w:sz w:val="22"/>
              </w:rPr>
              <w:t xml:space="preserve">6/30/2027</w:t>
            </w:r>
          </w:p>
        </w:tc>
      </w:tr>
      <w:tr>
        <w:trPr>
          <w:cantSplit w:val="true"/>
        </w:trPr>
        <w:tc>
          <w:tcPr>
            <w:vMerge/>
          </w:tcPr>
          <w:p/>
        </w:tc>
        <w:tc>
          <w:p w14:paraId="5A0BF15C" w14:textId="77777777">
            <w:pPr>
              <w:keepNext w:val="true"/>
              <w:spacing w:before="100" w:after="0"/>
              <w:rPr>
                <w:rFonts w:asciiTheme="minorHAnsi" w:hAnsiTheme="minorHAnsi"/>
                <w:b/>
              </w:rPr>
            </w:pPr>
            <w:r>
              <w:rPr>
                <w:rStyle w:val="Strong"/>
                <w:rFonts w:asciiTheme="minorHAnsi" w:hAnsiTheme="minorHAnsi"/>
              </w:rPr>
              <w:t>Estimate the number and type of families that will benefit from the proposed activities</w:t>
            </w:r>
          </w:p>
        </w:tc>
        <w:tc>
          <w:p>
            <w:pPr>
              <w:spacing w:before="100" w:after="0"/>
            </w:pPr>
            <w:r>
              <w:rPr>
                <w:rFonts w:ascii="Calibri" w:hAnsi="Calibri"/>
                <w:color w:val="000000"/>
                <w:sz w:val="22"/>
              </w:rPr>
              <w:t xml:space="preserve">Approximately 150 individuals</w:t>
            </w:r>
          </w:p>
        </w:tc>
      </w:tr>
      <w:tr>
        <w:trPr>
          <w:cantSplit w:val="true"/>
        </w:trPr>
        <w:tc>
          <w:tcPr>
            <w:vMerge/>
          </w:tcPr>
          <w:p/>
        </w:tc>
        <w:tc>
          <w:p w14:paraId="173748C4" w14:textId="77777777">
            <w:pPr>
              <w:keepNext w:val="true"/>
              <w:spacing w:before="100" w:after="0"/>
              <w:rPr>
                <w:rFonts w:asciiTheme="minorHAnsi" w:hAnsiTheme="minorHAnsi"/>
                <w:b/>
              </w:rPr>
            </w:pPr>
            <w:r>
              <w:rPr>
                <w:rStyle w:val="Strong"/>
                <w:rFonts w:asciiTheme="minorHAnsi" w:hAnsiTheme="minorHAnsi"/>
              </w:rPr>
              <w:t>Location Description</w:t>
            </w:r>
          </w:p>
        </w:tc>
        <w:tc>
          <w:p>
            <w:pPr>
              <w:spacing w:before="100" w:after="0"/>
            </w:pPr>
            <w:r>
              <w:rPr>
                <w:rFonts w:ascii="Calibri" w:hAnsi="Calibri"/>
                <w:color w:val="000000"/>
                <w:sz w:val="22"/>
              </w:rPr>
              <w:t xml:space="preserve">Citywide</w:t>
            </w:r>
          </w:p>
        </w:tc>
      </w:tr>
      <w:tr>
        <w:trPr>
          <w:cantSplit w:val="true"/>
        </w:trPr>
        <w:tc>
          <w:tcPr>
            <w:vMerge/>
          </w:tcPr>
          <w:p/>
        </w:tc>
        <w:tc>
          <w:p w14:paraId="3EEF41B9" w14:textId="77777777">
            <w:pPr>
              <w:keepNext w:val="true"/>
              <w:spacing w:before="100" w:after="0"/>
              <w:rPr>
                <w:rFonts w:asciiTheme="minorHAnsi" w:hAnsiTheme="minorHAnsi"/>
                <w:b/>
              </w:rPr>
            </w:pPr>
            <w:r>
              <w:rPr>
                <w:rStyle w:val="Strong"/>
                <w:rFonts w:asciiTheme="minorHAnsi" w:hAnsiTheme="minorHAnsi"/>
              </w:rPr>
              <w:t>Planned Activities</w:t>
            </w:r>
          </w:p>
        </w:tc>
        <w:tc>
          <w:p>
            <w:pPr>
              <w:spacing w:before="100" w:after="0"/>
            </w:pPr>
            <w:r>
              <w:rPr>
                <w:rFonts w:ascii="Calibri" w:hAnsi="Calibri"/>
                <w:color w:val="000000"/>
                <w:sz w:val="22"/>
              </w:rPr>
              <w:t xml:space="preserve">Provision of shelter, case management, and supportive services.</w:t>
            </w:r>
          </w:p>
        </w:tc>
      </w:tr>
      <w:tr>
        <w:trPr>
          <w:cantSplit w:val="true"/>
        </w:trPr>
        <w:tc>
          <w:tcPr>
            <w:vMerge w:val="restart"/>
          </w:tcPr>
          <w:p>
            <w:r>
              <w:rPr>
                <w:b w:val="true"/>
              </w:rPr>
              <w:t>4</w:t>
            </w:r>
          </w:p>
        </w:tc>
        <w:tc>
          <w:p w14:paraId="0997E3C8" w14:textId="77777777">
            <w:pPr>
              <w:keepNext w:val="true"/>
              <w:spacing w:before="100" w:after="0"/>
              <w:rPr>
                <w:b/>
              </w:rPr>
            </w:pPr>
            <w:r>
              <w:rPr>
                <w:b/>
              </w:rPr>
              <w:t>Project Name</w:t>
            </w:r>
          </w:p>
        </w:tc>
        <w:tc>
          <w:p>
            <w:pPr>
              <w:spacing w:before="100" w:after="0"/>
            </w:pPr>
            <w:r>
              <w:rPr>
                <w:rFonts w:ascii="Calibri" w:hAnsi="Calibri"/>
                <w:color w:val="000000"/>
                <w:sz w:val="22"/>
              </w:rPr>
              <w:t xml:space="preserve">MHDC Emergency Home Repair Program</w:t>
            </w:r>
          </w:p>
        </w:tc>
      </w:tr>
      <w:tr>
        <w:trPr>
          <w:cantSplit w:val="true"/>
        </w:trPr>
        <w:tc>
          <w:tcPr>
            <w:vMerge/>
          </w:tcPr>
          <w:p/>
        </w:tc>
        <w:tc>
          <w:p w14:paraId="230A3019" w14:textId="77777777">
            <w:pPr>
              <w:keepNext w:val="true"/>
              <w:spacing w:before="100" w:after="0"/>
              <w:rPr>
                <w:b/>
              </w:rPr>
            </w:pPr>
            <w:r>
              <w:rPr>
                <w:b/>
              </w:rPr>
              <w:t>Target Area</w:t>
            </w:r>
          </w:p>
        </w:tc>
        <w:tc>
          <w:p>
            <w:pPr>
              <w:spacing w:before="100" w:after="0"/>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r>
      <w:tr>
        <w:trPr>
          <w:cantSplit w:val="true"/>
        </w:trPr>
        <w:tc>
          <w:tcPr>
            <w:vMerge/>
          </w:tcPr>
          <w:p/>
        </w:tc>
        <w:tc>
          <w:p w14:paraId="58E3EAA6" w14:textId="77777777">
            <w:pPr>
              <w:keepNext w:val="true"/>
              <w:spacing w:before="100" w:after="0"/>
              <w:rPr>
                <w:b/>
              </w:rPr>
            </w:pPr>
            <w:r>
              <w:rPr>
                <w:b/>
              </w:rPr>
              <w:t>Goals Supported</w:t>
            </w:r>
          </w:p>
        </w:tc>
        <w:tc>
          <w:p>
            <w:pPr>
              <w:spacing w:before="100" w:after="0"/>
            </w:pPr>
            <w:r>
              <w:rPr>
                <w:rFonts w:ascii="Calibri" w:hAnsi="Calibri"/>
                <w:color w:val="000000"/>
                <w:sz w:val="22"/>
              </w:rPr>
              <w:t xml:space="preserve">AH-3 Affordable Housing</w:t>
            </w:r>
          </w:p>
        </w:tc>
      </w:tr>
      <w:tr>
        <w:trPr>
          <w:cantSplit w:val="true"/>
        </w:trPr>
        <w:tc>
          <w:tcPr>
            <w:vMerge/>
          </w:tcPr>
          <w:p/>
        </w:tc>
        <w:tc>
          <w:p w14:paraId="3AADCBA8" w14:textId="77777777">
            <w:pPr>
              <w:keepNext w:val="true"/>
              <w:spacing w:before="100" w:after="0"/>
              <w:rPr>
                <w:b/>
              </w:rPr>
            </w:pPr>
            <w:r>
              <w:rPr>
                <w:b/>
              </w:rPr>
              <w:t>Needs Addressed</w:t>
            </w:r>
          </w:p>
        </w:tc>
        <w:tc>
          <w:p>
            <w:pPr>
              <w:spacing w:before="100" w:after="0"/>
            </w:pPr>
            <w:r>
              <w:rPr>
                <w:rFonts w:ascii="Calibri" w:hAnsi="Calibri"/>
                <w:color w:val="000000"/>
                <w:sz w:val="22"/>
              </w:rPr>
              <w:t xml:space="preserve">Homeowner Rehabilitation</w:t>
            </w:r>
          </w:p>
        </w:tc>
      </w:tr>
      <w:tr>
        <w:trPr>
          <w:cantSplit w:val="true"/>
        </w:trPr>
        <w:tc>
          <w:tcPr>
            <w:vMerge/>
          </w:tcPr>
          <w:p/>
        </w:tc>
        <w:tc>
          <w:p w14:paraId="386AAE58" w14:textId="77777777">
            <w:pPr>
              <w:keepNext w:val="true"/>
              <w:spacing w:before="100" w:after="0"/>
              <w:rPr>
                <w:b/>
              </w:rPr>
            </w:pPr>
            <w:r>
              <w:rPr>
                <w:b/>
              </w:rPr>
              <w:t>Funding</w:t>
            </w:r>
          </w:p>
        </w:tc>
        <w:tc>
          <w:p>
            <w:pPr>
              <w:spacing w:before="100" w:after="0"/>
            </w:pPr>
            <w:r>
              <w:rPr>
                <w:rFonts w:ascii="Calibri" w:hAnsi="Calibri"/>
                <w:color w:val="000000"/>
                <w:sz w:val="22"/>
              </w:rPr>
              <w:t xml:space="preserve">CDBG: $40,000.00</w:t>
            </w:r>
          </w:p>
        </w:tc>
      </w:tr>
      <w:tr>
        <w:trPr>
          <w:cantSplit w:val="true"/>
        </w:trPr>
        <w:tc>
          <w:tcPr>
            <w:vMerge/>
          </w:tcPr>
          <w:p/>
        </w:tc>
        <w:tc>
          <w:p w14:paraId="6FAF364A" w14:textId="77777777">
            <w:pPr>
              <w:keepNext w:val="true"/>
              <w:spacing w:before="100" w:after="0"/>
              <w:rPr>
                <w:b/>
              </w:rPr>
            </w:pPr>
            <w:r>
              <w:rPr>
                <w:b/>
              </w:rPr>
              <w:t>Description</w:t>
            </w:r>
          </w:p>
        </w:tc>
        <w:tc>
          <w:p>
            <w:pPr>
              <w:spacing w:before="100" w:after="0"/>
            </w:pPr>
            <w:r>
              <w:rPr>
                <w:rFonts w:ascii="Calibri" w:hAnsi="Calibri"/>
                <w:color w:val="000000"/>
                <w:sz w:val="22"/>
              </w:rPr>
              <w:t xml:space="preserve"> </w:t>
            </w:r>
          </w:p>
        </w:tc>
      </w:tr>
      <w:tr>
        <w:trPr>
          <w:cantSplit w:val="true"/>
        </w:trPr>
        <w:tc>
          <w:tcPr>
            <w:vMerge/>
          </w:tcPr>
          <w:p/>
        </w:tc>
        <w:tc>
          <w:p w14:paraId="2FC2AA4C" w14:textId="77777777">
            <w:pPr>
              <w:keepNext w:val="true"/>
              <w:spacing w:before="100" w:after="0"/>
              <w:rPr>
                <w:b/>
              </w:rPr>
            </w:pPr>
            <w:r>
              <w:rPr>
                <w:b/>
              </w:rPr>
              <w:t>Target Date</w:t>
            </w:r>
          </w:p>
        </w:tc>
        <w:tc>
          <w:p>
            <w:pPr>
              <w:spacing w:before="100" w:after="0"/>
            </w:pPr>
            <w:r>
              <w:rPr>
                <w:rFonts w:ascii="Calibri" w:hAnsi="Calibri"/>
                <w:color w:val="000000"/>
                <w:sz w:val="22"/>
              </w:rPr>
              <w:t xml:space="preserve">6/30/2027</w:t>
            </w:r>
          </w:p>
        </w:tc>
      </w:tr>
      <w:tr>
        <w:trPr>
          <w:cantSplit w:val="true"/>
        </w:trPr>
        <w:tc>
          <w:tcPr>
            <w:vMerge/>
          </w:tcPr>
          <w:p/>
        </w:tc>
        <w:tc>
          <w:p w14:paraId="5A0BF15C" w14:textId="77777777">
            <w:pPr>
              <w:keepNext w:val="true"/>
              <w:spacing w:before="100" w:after="0"/>
              <w:rPr>
                <w:rFonts w:asciiTheme="minorHAnsi" w:hAnsiTheme="minorHAnsi"/>
                <w:b/>
              </w:rPr>
            </w:pPr>
            <w:r>
              <w:rPr>
                <w:rStyle w:val="Strong"/>
                <w:rFonts w:asciiTheme="minorHAnsi" w:hAnsiTheme="minorHAnsi"/>
              </w:rPr>
              <w:t>Estimate the number and type of families that will benefit from the proposed activities</w:t>
            </w:r>
          </w:p>
        </w:tc>
        <w:tc>
          <w:p>
            <w:pPr>
              <w:spacing w:before="100" w:after="0"/>
            </w:pPr>
            <w:r>
              <w:rPr>
                <w:rFonts w:ascii="Calibri" w:hAnsi="Calibri"/>
                <w:color w:val="000000"/>
                <w:sz w:val="22"/>
              </w:rPr>
              <w:t xml:space="preserve">Approximately 6 households.</w:t>
            </w:r>
          </w:p>
        </w:tc>
      </w:tr>
      <w:tr>
        <w:trPr>
          <w:cantSplit w:val="true"/>
        </w:trPr>
        <w:tc>
          <w:tcPr>
            <w:vMerge/>
          </w:tcPr>
          <w:p/>
        </w:tc>
        <w:tc>
          <w:p w14:paraId="173748C4" w14:textId="77777777">
            <w:pPr>
              <w:keepNext w:val="true"/>
              <w:spacing w:before="100" w:after="0"/>
              <w:rPr>
                <w:rFonts w:asciiTheme="minorHAnsi" w:hAnsiTheme="minorHAnsi"/>
                <w:b/>
              </w:rPr>
            </w:pPr>
            <w:r>
              <w:rPr>
                <w:rStyle w:val="Strong"/>
                <w:rFonts w:asciiTheme="minorHAnsi" w:hAnsiTheme="minorHAnsi"/>
              </w:rPr>
              <w:t>Location Description</w:t>
            </w:r>
          </w:p>
        </w:tc>
        <w:tc>
          <w:p>
            <w:pPr>
              <w:spacing w:before="100" w:after="0"/>
            </w:pPr>
            <w:r>
              <w:rPr>
                <w:rFonts w:ascii="Calibri" w:hAnsi="Calibri"/>
                <w:color w:val="000000"/>
                <w:sz w:val="22"/>
              </w:rPr>
              <w:t xml:space="preserve">Citywide</w:t>
            </w:r>
          </w:p>
        </w:tc>
      </w:tr>
      <w:tr>
        <w:trPr>
          <w:cantSplit w:val="true"/>
        </w:trPr>
        <w:tc>
          <w:tcPr>
            <w:vMerge/>
          </w:tcPr>
          <w:p/>
        </w:tc>
        <w:tc>
          <w:p w14:paraId="3EEF41B9" w14:textId="77777777">
            <w:pPr>
              <w:keepNext w:val="true"/>
              <w:spacing w:before="100" w:after="0"/>
              <w:rPr>
                <w:rFonts w:asciiTheme="minorHAnsi" w:hAnsiTheme="minorHAnsi"/>
                <w:b/>
              </w:rPr>
            </w:pPr>
            <w:r>
              <w:rPr>
                <w:rStyle w:val="Strong"/>
                <w:rFonts w:asciiTheme="minorHAnsi" w:hAnsiTheme="minorHAnsi"/>
              </w:rPr>
              <w:t>Planned Activities</w:t>
            </w:r>
          </w:p>
        </w:tc>
        <w:tc>
          <w:p>
            <w:pPr>
              <w:spacing w:before="100" w:after="0"/>
            </w:pPr>
            <w:r>
              <w:rPr>
                <w:rFonts w:ascii="Calibri" w:hAnsi="Calibri"/>
                <w:color w:val="000000"/>
                <w:sz w:val="22"/>
              </w:rPr>
              <w:t xml:space="preserve">Emergency repairs including roofing, plumbing, electrical, and other critical systems.</w:t>
            </w:r>
          </w:p>
        </w:tc>
      </w:tr>
      <w:tr>
        <w:trPr>
          <w:cantSplit w:val="true"/>
        </w:trPr>
        <w:tc>
          <w:tcPr>
            <w:vMerge w:val="restart"/>
          </w:tcPr>
          <w:p>
            <w:r>
              <w:rPr>
                <w:b w:val="true"/>
              </w:rPr>
              <w:t>5</w:t>
            </w:r>
          </w:p>
        </w:tc>
        <w:tc>
          <w:p w14:paraId="0997E3C8" w14:textId="77777777">
            <w:pPr>
              <w:keepNext w:val="true"/>
              <w:spacing w:before="100" w:after="0"/>
              <w:rPr>
                <w:b/>
              </w:rPr>
            </w:pPr>
            <w:r>
              <w:rPr>
                <w:b/>
              </w:rPr>
              <w:t>Project Name</w:t>
            </w:r>
          </w:p>
        </w:tc>
        <w:tc>
          <w:p>
            <w:pPr>
              <w:spacing w:before="100" w:after="0"/>
            </w:pPr>
            <w:r>
              <w:rPr>
                <w:rFonts w:ascii="Calibri" w:hAnsi="Calibri"/>
                <w:color w:val="000000"/>
                <w:sz w:val="22"/>
              </w:rPr>
              <w:t xml:space="preserve">Habitat for Humanity Affordable Housing</w:t>
            </w:r>
          </w:p>
        </w:tc>
      </w:tr>
      <w:tr>
        <w:trPr>
          <w:cantSplit w:val="true"/>
        </w:trPr>
        <w:tc>
          <w:tcPr>
            <w:vMerge/>
          </w:tcPr>
          <w:p/>
        </w:tc>
        <w:tc>
          <w:p w14:paraId="230A3019" w14:textId="77777777">
            <w:pPr>
              <w:keepNext w:val="true"/>
              <w:spacing w:before="100" w:after="0"/>
              <w:rPr>
                <w:b/>
              </w:rPr>
            </w:pPr>
            <w:r>
              <w:rPr>
                <w:b/>
              </w:rPr>
              <w:t>Target Area</w:t>
            </w:r>
          </w:p>
        </w:tc>
        <w:tc>
          <w:p>
            <w:pPr>
              <w:spacing w:before="100" w:after="0"/>
            </w:pPr>
            <w:r>
              <w:rPr>
                <w:rFonts w:ascii="Calibri" w:hAnsi="Calibri"/>
                <w:color w:val="000000"/>
                <w:sz w:val="22"/>
              </w:rPr>
              <w:t xml:space="preserve">Downtown Target Area</w:t>
            </w:r>
          </w:p>
        </w:tc>
      </w:tr>
      <w:tr>
        <w:trPr>
          <w:cantSplit w:val="true"/>
        </w:trPr>
        <w:tc>
          <w:tcPr>
            <w:vMerge/>
          </w:tcPr>
          <w:p/>
        </w:tc>
        <w:tc>
          <w:p w14:paraId="58E3EAA6" w14:textId="77777777">
            <w:pPr>
              <w:keepNext w:val="true"/>
              <w:spacing w:before="100" w:after="0"/>
              <w:rPr>
                <w:b/>
              </w:rPr>
            </w:pPr>
            <w:r>
              <w:rPr>
                <w:b/>
              </w:rPr>
              <w:t>Goals Supported</w:t>
            </w:r>
          </w:p>
        </w:tc>
        <w:tc>
          <w:p>
            <w:pPr>
              <w:spacing w:before="100" w:after="0"/>
            </w:pPr>
            <w:r>
              <w:rPr>
                <w:rFonts w:ascii="Calibri" w:hAnsi="Calibri"/>
                <w:color w:val="000000"/>
                <w:sz w:val="22"/>
              </w:rPr>
              <w:t xml:space="preserve">AH-4 Affordable Housing</w:t>
            </w:r>
          </w:p>
        </w:tc>
      </w:tr>
      <w:tr>
        <w:trPr>
          <w:cantSplit w:val="true"/>
        </w:trPr>
        <w:tc>
          <w:tcPr>
            <w:vMerge/>
          </w:tcPr>
          <w:p/>
        </w:tc>
        <w:tc>
          <w:p w14:paraId="3AADCBA8" w14:textId="77777777">
            <w:pPr>
              <w:keepNext w:val="true"/>
              <w:spacing w:before="100" w:after="0"/>
              <w:rPr>
                <w:b/>
              </w:rPr>
            </w:pPr>
            <w:r>
              <w:rPr>
                <w:b/>
              </w:rPr>
              <w:t>Needs Addressed</w:t>
            </w:r>
          </w:p>
        </w:tc>
        <w:tc>
          <w:p>
            <w:pPr>
              <w:spacing w:before="100" w:after="0"/>
            </w:pPr>
            <w:r>
              <w:rPr>
                <w:rFonts w:ascii="Calibri" w:hAnsi="Calibri"/>
                <w:color w:val="000000"/>
                <w:sz w:val="22"/>
              </w:rPr>
              <w:t xml:space="preserve">Affordable Housing</w:t>
            </w:r>
          </w:p>
        </w:tc>
      </w:tr>
      <w:tr>
        <w:trPr>
          <w:cantSplit w:val="true"/>
        </w:trPr>
        <w:tc>
          <w:tcPr>
            <w:vMerge/>
          </w:tcPr>
          <w:p/>
        </w:tc>
        <w:tc>
          <w:p w14:paraId="386AAE58" w14:textId="77777777">
            <w:pPr>
              <w:keepNext w:val="true"/>
              <w:spacing w:before="100" w:after="0"/>
              <w:rPr>
                <w:b/>
              </w:rPr>
            </w:pPr>
            <w:r>
              <w:rPr>
                <w:b/>
              </w:rPr>
              <w:t>Funding</w:t>
            </w:r>
          </w:p>
        </w:tc>
        <w:tc>
          <w:p>
            <w:pPr>
              <w:spacing w:before="100" w:after="0"/>
            </w:pPr>
            <w:r>
              <w:rPr>
                <w:rFonts w:ascii="Calibri" w:hAnsi="Calibri"/>
                <w:color w:val="000000"/>
                <w:sz w:val="22"/>
              </w:rPr>
              <w:t xml:space="preserve">CDBG: $25,000.00</w:t>
            </w:r>
          </w:p>
        </w:tc>
      </w:tr>
      <w:tr>
        <w:trPr>
          <w:cantSplit w:val="true"/>
        </w:trPr>
        <w:tc>
          <w:tcPr>
            <w:vMerge/>
          </w:tcPr>
          <w:p/>
        </w:tc>
        <w:tc>
          <w:p w14:paraId="6FAF364A" w14:textId="77777777">
            <w:pPr>
              <w:keepNext w:val="true"/>
              <w:spacing w:before="100" w:after="0"/>
              <w:rPr>
                <w:b/>
              </w:rPr>
            </w:pPr>
            <w:r>
              <w:rPr>
                <w:b/>
              </w:rPr>
              <w:t>Description</w:t>
            </w:r>
          </w:p>
        </w:tc>
        <w:tc>
          <w:p>
            <w:pPr>
              <w:spacing w:before="100" w:after="0"/>
            </w:pPr>
            <w:r>
              <w:rPr>
                <w:rFonts w:ascii="Calibri" w:hAnsi="Calibri"/>
                <w:color w:val="000000"/>
                <w:sz w:val="22"/>
              </w:rPr>
              <w:t xml:space="preserve">CDBG funds will support the development of affordable housing units in partnership with Habitat for Humanity.</w:t>
            </w:r>
          </w:p>
        </w:tc>
      </w:tr>
      <w:tr>
        <w:trPr>
          <w:cantSplit w:val="true"/>
        </w:trPr>
        <w:tc>
          <w:tcPr>
            <w:vMerge/>
          </w:tcPr>
          <w:p/>
        </w:tc>
        <w:tc>
          <w:p w14:paraId="2FC2AA4C" w14:textId="77777777">
            <w:pPr>
              <w:keepNext w:val="true"/>
              <w:spacing w:before="100" w:after="0"/>
              <w:rPr>
                <w:b/>
              </w:rPr>
            </w:pPr>
            <w:r>
              <w:rPr>
                <w:b/>
              </w:rPr>
              <w:t>Target Date</w:t>
            </w:r>
          </w:p>
        </w:tc>
        <w:tc>
          <w:p>
            <w:pPr>
              <w:spacing w:before="100" w:after="0"/>
            </w:pPr>
            <w:r>
              <w:rPr>
                <w:rFonts w:ascii="Calibri" w:hAnsi="Calibri"/>
                <w:color w:val="000000"/>
                <w:sz w:val="22"/>
              </w:rPr>
              <w:t xml:space="preserve">6/30/2027</w:t>
            </w:r>
          </w:p>
        </w:tc>
      </w:tr>
      <w:tr>
        <w:trPr>
          <w:cantSplit w:val="true"/>
        </w:trPr>
        <w:tc>
          <w:tcPr>
            <w:vMerge/>
          </w:tcPr>
          <w:p/>
        </w:tc>
        <w:tc>
          <w:p w14:paraId="5A0BF15C" w14:textId="77777777">
            <w:pPr>
              <w:keepNext w:val="true"/>
              <w:spacing w:before="100" w:after="0"/>
              <w:rPr>
                <w:rFonts w:asciiTheme="minorHAnsi" w:hAnsiTheme="minorHAnsi"/>
                <w:b/>
              </w:rPr>
            </w:pPr>
            <w:r>
              <w:rPr>
                <w:rStyle w:val="Strong"/>
                <w:rFonts w:asciiTheme="minorHAnsi" w:hAnsiTheme="minorHAnsi"/>
              </w:rPr>
              <w:t>Estimate the number and type of families that will benefit from the proposed activities</w:t>
            </w:r>
          </w:p>
        </w:tc>
        <w:tc>
          <w:p>
            <w:pPr>
              <w:spacing w:before="100" w:after="0"/>
            </w:pPr>
            <w:r>
              <w:rPr>
                <w:rFonts w:ascii="Calibri" w:hAnsi="Calibri"/>
                <w:color w:val="000000"/>
                <w:sz w:val="22"/>
              </w:rPr>
              <w:t xml:space="preserve">Approximately 1 household</w:t>
            </w:r>
          </w:p>
        </w:tc>
      </w:tr>
      <w:tr>
        <w:trPr>
          <w:cantSplit w:val="true"/>
        </w:trPr>
        <w:tc>
          <w:tcPr>
            <w:vMerge/>
          </w:tcPr>
          <w:p/>
        </w:tc>
        <w:tc>
          <w:p w14:paraId="173748C4" w14:textId="77777777">
            <w:pPr>
              <w:keepNext w:val="true"/>
              <w:spacing w:before="100" w:after="0"/>
              <w:rPr>
                <w:rFonts w:asciiTheme="minorHAnsi" w:hAnsiTheme="minorHAnsi"/>
                <w:b/>
              </w:rPr>
            </w:pPr>
            <w:r>
              <w:rPr>
                <w:rStyle w:val="Strong"/>
                <w:rFonts w:asciiTheme="minorHAnsi" w:hAnsiTheme="minorHAnsi"/>
              </w:rPr>
              <w:t>Location Description</w:t>
            </w:r>
          </w:p>
        </w:tc>
        <w:tc>
          <w:p>
            <w:pPr>
              <w:spacing w:before="100" w:after="0"/>
            </w:pPr>
            <w:r>
              <w:rPr>
                <w:rFonts w:ascii="Calibri" w:hAnsi="Calibri"/>
                <w:color w:val="000000"/>
                <w:sz w:val="22"/>
              </w:rPr>
              <w:t xml:space="preserve">Downtown Target Area</w:t>
            </w:r>
          </w:p>
        </w:tc>
      </w:tr>
      <w:tr>
        <w:trPr>
          <w:cantSplit w:val="true"/>
        </w:trPr>
        <w:tc>
          <w:tcPr>
            <w:vMerge/>
          </w:tcPr>
          <w:p/>
        </w:tc>
        <w:tc>
          <w:p w14:paraId="3EEF41B9" w14:textId="77777777">
            <w:pPr>
              <w:keepNext w:val="true"/>
              <w:spacing w:before="100" w:after="0"/>
              <w:rPr>
                <w:rFonts w:asciiTheme="minorHAnsi" w:hAnsiTheme="minorHAnsi"/>
                <w:b/>
              </w:rPr>
            </w:pPr>
            <w:r>
              <w:rPr>
                <w:rStyle w:val="Strong"/>
                <w:rFonts w:asciiTheme="minorHAnsi" w:hAnsiTheme="minorHAnsi"/>
              </w:rPr>
              <w:t>Planned Activities</w:t>
            </w:r>
          </w:p>
        </w:tc>
        <w:tc>
          <w:p>
            <w:pPr>
              <w:spacing w:before="100" w:after="0"/>
            </w:pPr>
            <w:r>
              <w:rPr>
                <w:rFonts w:ascii="Calibri" w:hAnsi="Calibri"/>
                <w:color w:val="000000"/>
                <w:sz w:val="22"/>
              </w:rPr>
              <w:t xml:space="preserve">Construction of new affordable housing.</w:t>
            </w:r>
          </w:p>
        </w:tc>
      </w:tr>
      <w:tr>
        <w:trPr>
          <w:cantSplit w:val="true"/>
        </w:trPr>
        <w:tc>
          <w:tcPr>
            <w:vMerge w:val="restart"/>
          </w:tcPr>
          <w:p>
            <w:r>
              <w:rPr>
                <w:b w:val="true"/>
              </w:rPr>
              <w:t>6</w:t>
            </w:r>
          </w:p>
        </w:tc>
        <w:tc>
          <w:p w14:paraId="0997E3C8" w14:textId="77777777">
            <w:pPr>
              <w:keepNext w:val="true"/>
              <w:spacing w:before="100" w:after="0"/>
              <w:rPr>
                <w:b/>
              </w:rPr>
            </w:pPr>
            <w:r>
              <w:rPr>
                <w:b/>
              </w:rPr>
              <w:t>Project Name</w:t>
            </w:r>
          </w:p>
        </w:tc>
        <w:tc>
          <w:p>
            <w:pPr>
              <w:spacing w:before="100" w:after="0"/>
            </w:pPr>
            <w:r>
              <w:rPr>
                <w:rFonts w:ascii="Calibri" w:hAnsi="Calibri"/>
                <w:color w:val="000000"/>
                <w:sz w:val="22"/>
              </w:rPr>
              <w:t xml:space="preserve">MHDC Homeowner Rehabilitation Program</w:t>
            </w:r>
          </w:p>
        </w:tc>
      </w:tr>
      <w:tr>
        <w:trPr>
          <w:cantSplit w:val="true"/>
        </w:trPr>
        <w:tc>
          <w:tcPr>
            <w:vMerge/>
          </w:tcPr>
          <w:p/>
        </w:tc>
        <w:tc>
          <w:p w14:paraId="230A3019" w14:textId="77777777">
            <w:pPr>
              <w:keepNext w:val="true"/>
              <w:spacing w:before="100" w:after="0"/>
              <w:rPr>
                <w:b/>
              </w:rPr>
            </w:pPr>
            <w:r>
              <w:rPr>
                <w:b/>
              </w:rPr>
              <w:t>Target Area</w:t>
            </w:r>
          </w:p>
        </w:tc>
        <w:tc>
          <w:p>
            <w:pPr>
              <w:spacing w:before="100" w:after="0"/>
            </w:pPr>
            <w:r>
              <w:rPr>
                <w:rFonts w:ascii="Calibri" w:hAnsi="Calibri"/>
                <w:color w:val="000000"/>
                <w:sz w:val="22"/>
              </w:rPr>
              <w:t xml:space="preserve">Downtown Target Area</w:t>
            </w:r>
            <w:r>
              <w:rPr>
                <w:rFonts w:ascii="Calibri" w:hAnsi="Calibri"/>
                <w:color w:val="000000"/>
                <w:sz w:val="22"/>
              </w:rPr>
              <w:br/>
              <w:t xml:space="preserve"/>
            </w:r>
            <w:r>
              <w:rPr>
                <w:rFonts w:ascii="Calibri" w:hAnsi="Calibri"/>
                <w:color w:val="000000"/>
                <w:sz w:val="22"/>
              </w:rPr>
              <w:t xml:space="preserve">Dover City Limits</w:t>
            </w:r>
          </w:p>
        </w:tc>
      </w:tr>
      <w:tr>
        <w:trPr>
          <w:cantSplit w:val="true"/>
        </w:trPr>
        <w:tc>
          <w:tcPr>
            <w:vMerge/>
          </w:tcPr>
          <w:p/>
        </w:tc>
        <w:tc>
          <w:p w14:paraId="58E3EAA6" w14:textId="77777777">
            <w:pPr>
              <w:keepNext w:val="true"/>
              <w:spacing w:before="100" w:after="0"/>
              <w:rPr>
                <w:b/>
              </w:rPr>
            </w:pPr>
            <w:r>
              <w:rPr>
                <w:b/>
              </w:rPr>
              <w:t>Goals Supported</w:t>
            </w:r>
          </w:p>
        </w:tc>
        <w:tc>
          <w:p>
            <w:pPr>
              <w:spacing w:before="100" w:after="0"/>
            </w:pPr>
            <w:r>
              <w:rPr>
                <w:rFonts w:ascii="Calibri" w:hAnsi="Calibri"/>
                <w:color w:val="000000"/>
                <w:sz w:val="22"/>
              </w:rPr>
              <w:t xml:space="preserve">AH=2 Affordable Housing</w:t>
            </w:r>
          </w:p>
        </w:tc>
      </w:tr>
      <w:tr>
        <w:trPr>
          <w:cantSplit w:val="true"/>
        </w:trPr>
        <w:tc>
          <w:tcPr>
            <w:vMerge/>
          </w:tcPr>
          <w:p/>
        </w:tc>
        <w:tc>
          <w:p w14:paraId="3AADCBA8" w14:textId="77777777">
            <w:pPr>
              <w:keepNext w:val="true"/>
              <w:spacing w:before="100" w:after="0"/>
              <w:rPr>
                <w:b/>
              </w:rPr>
            </w:pPr>
            <w:r>
              <w:rPr>
                <w:b/>
              </w:rPr>
              <w:t>Needs Addressed</w:t>
            </w:r>
          </w:p>
        </w:tc>
        <w:tc>
          <w:p>
            <w:pPr>
              <w:spacing w:before="100" w:after="0"/>
            </w:pPr>
            <w:r>
              <w:rPr>
                <w:rFonts w:ascii="Calibri" w:hAnsi="Calibri"/>
                <w:color w:val="000000"/>
                <w:sz w:val="22"/>
              </w:rPr>
              <w:t xml:space="preserve">Homeowner Rehabilitation</w:t>
            </w:r>
          </w:p>
        </w:tc>
      </w:tr>
      <w:tr>
        <w:trPr>
          <w:cantSplit w:val="true"/>
        </w:trPr>
        <w:tc>
          <w:tcPr>
            <w:vMerge/>
          </w:tcPr>
          <w:p/>
        </w:tc>
        <w:tc>
          <w:p w14:paraId="386AAE58" w14:textId="77777777">
            <w:pPr>
              <w:keepNext w:val="true"/>
              <w:spacing w:before="100" w:after="0"/>
              <w:rPr>
                <w:b/>
              </w:rPr>
            </w:pPr>
            <w:r>
              <w:rPr>
                <w:b/>
              </w:rPr>
              <w:t>Funding</w:t>
            </w:r>
          </w:p>
        </w:tc>
        <w:tc>
          <w:p>
            <w:pPr>
              <w:spacing w:before="100" w:after="0"/>
            </w:pPr>
            <w:r>
              <w:rPr>
                <w:rFonts w:ascii="Calibri" w:hAnsi="Calibri"/>
                <w:color w:val="000000"/>
                <w:sz w:val="22"/>
              </w:rPr>
              <w:t xml:space="preserve">CDBG: $55,000.00</w:t>
            </w:r>
          </w:p>
        </w:tc>
      </w:tr>
      <w:tr>
        <w:trPr>
          <w:cantSplit w:val="true"/>
        </w:trPr>
        <w:tc>
          <w:tcPr>
            <w:vMerge/>
          </w:tcPr>
          <w:p/>
        </w:tc>
        <w:tc>
          <w:p w14:paraId="6FAF364A" w14:textId="77777777">
            <w:pPr>
              <w:keepNext w:val="true"/>
              <w:spacing w:before="100" w:after="0"/>
              <w:rPr>
                <w:b/>
              </w:rPr>
            </w:pPr>
            <w:r>
              <w:rPr>
                <w:b/>
              </w:rPr>
              <w:t>Description</w:t>
            </w:r>
          </w:p>
        </w:tc>
        <w:tc>
          <w:p>
            <w:pPr>
              <w:spacing w:before="100" w:after="0"/>
            </w:pPr>
            <w:r>
              <w:rPr>
                <w:rFonts w:ascii="Calibri" w:hAnsi="Calibri"/>
                <w:color w:val="000000"/>
                <w:sz w:val="22"/>
              </w:rPr>
              <w:t xml:space="preserve">CDBG funds will be used to rehabilitate owner-occupied homes to ensure code compliance and improve housing conditions.</w:t>
            </w:r>
          </w:p>
        </w:tc>
      </w:tr>
      <w:tr>
        <w:trPr>
          <w:cantSplit w:val="true"/>
        </w:trPr>
        <w:tc>
          <w:tcPr>
            <w:vMerge/>
          </w:tcPr>
          <w:p/>
        </w:tc>
        <w:tc>
          <w:p w14:paraId="2FC2AA4C" w14:textId="77777777">
            <w:pPr>
              <w:keepNext w:val="true"/>
              <w:spacing w:before="100" w:after="0"/>
              <w:rPr>
                <w:b/>
              </w:rPr>
            </w:pPr>
            <w:r>
              <w:rPr>
                <w:b/>
              </w:rPr>
              <w:t>Target Date</w:t>
            </w:r>
          </w:p>
        </w:tc>
        <w:tc>
          <w:p>
            <w:pPr>
              <w:spacing w:before="100" w:after="0"/>
            </w:pPr>
            <w:r>
              <w:rPr>
                <w:rFonts w:ascii="Calibri" w:hAnsi="Calibri"/>
                <w:color w:val="000000"/>
                <w:sz w:val="22"/>
              </w:rPr>
              <w:t xml:space="preserve">6/30/2027</w:t>
            </w:r>
          </w:p>
        </w:tc>
      </w:tr>
      <w:tr>
        <w:trPr>
          <w:cantSplit w:val="true"/>
        </w:trPr>
        <w:tc>
          <w:tcPr>
            <w:vMerge/>
          </w:tcPr>
          <w:p/>
        </w:tc>
        <w:tc>
          <w:p w14:paraId="5A0BF15C" w14:textId="77777777">
            <w:pPr>
              <w:keepNext w:val="true"/>
              <w:spacing w:before="100" w:after="0"/>
              <w:rPr>
                <w:rFonts w:asciiTheme="minorHAnsi" w:hAnsiTheme="minorHAnsi"/>
                <w:b/>
              </w:rPr>
            </w:pPr>
            <w:r>
              <w:rPr>
                <w:rStyle w:val="Strong"/>
                <w:rFonts w:asciiTheme="minorHAnsi" w:hAnsiTheme="minorHAnsi"/>
              </w:rPr>
              <w:t>Estimate the number and type of families that will benefit from the proposed activities</w:t>
            </w:r>
          </w:p>
        </w:tc>
        <w:tc>
          <w:p>
            <w:pPr>
              <w:spacing w:before="100" w:after="0"/>
            </w:pPr>
            <w:r>
              <w:rPr>
                <w:rFonts w:ascii="Calibri" w:hAnsi="Calibri"/>
                <w:color w:val="000000"/>
                <w:sz w:val="22"/>
              </w:rPr>
              <w:t xml:space="preserve">Approximately 3 low- and moderate-income households</w:t>
            </w:r>
          </w:p>
        </w:tc>
      </w:tr>
      <w:tr>
        <w:trPr>
          <w:cantSplit w:val="true"/>
        </w:trPr>
        <w:tc>
          <w:tcPr>
            <w:vMerge/>
          </w:tcPr>
          <w:p/>
        </w:tc>
        <w:tc>
          <w:p w14:paraId="173748C4" w14:textId="77777777">
            <w:pPr>
              <w:keepNext w:val="true"/>
              <w:spacing w:before="100" w:after="0"/>
              <w:rPr>
                <w:rFonts w:asciiTheme="minorHAnsi" w:hAnsiTheme="minorHAnsi"/>
                <w:b/>
              </w:rPr>
            </w:pPr>
            <w:r>
              <w:rPr>
                <w:rStyle w:val="Strong"/>
                <w:rFonts w:asciiTheme="minorHAnsi" w:hAnsiTheme="minorHAnsi"/>
              </w:rPr>
              <w:t>Location Description</w:t>
            </w:r>
          </w:p>
        </w:tc>
        <w:tc>
          <w:p>
            <w:pPr>
              <w:spacing w:before="100" w:after="0"/>
            </w:pPr>
            <w:r>
              <w:rPr>
                <w:rFonts w:ascii="Calibri" w:hAnsi="Calibri"/>
                <w:color w:val="000000"/>
                <w:sz w:val="22"/>
              </w:rPr>
              <w:t xml:space="preserve">Citywide</w:t>
            </w:r>
          </w:p>
        </w:tc>
      </w:tr>
      <w:tr>
        <w:trPr>
          <w:cantSplit w:val="true"/>
        </w:trPr>
        <w:tc>
          <w:tcPr>
            <w:vMerge/>
          </w:tcPr>
          <w:p/>
        </w:tc>
        <w:tc>
          <w:p w14:paraId="3EEF41B9" w14:textId="77777777">
            <w:pPr>
              <w:keepNext w:val="true"/>
              <w:spacing w:before="100" w:after="0"/>
              <w:rPr>
                <w:rFonts w:asciiTheme="minorHAnsi" w:hAnsiTheme="minorHAnsi"/>
                <w:b/>
              </w:rPr>
            </w:pPr>
            <w:r>
              <w:rPr>
                <w:rStyle w:val="Strong"/>
                <w:rFonts w:asciiTheme="minorHAnsi" w:hAnsiTheme="minorHAnsi"/>
              </w:rPr>
              <w:t>Planned Activities</w:t>
            </w:r>
          </w:p>
        </w:tc>
        <w:tc>
          <w:p>
            <w:pPr>
              <w:spacing w:before="100" w:after="0"/>
            </w:pPr>
            <w:r>
              <w:rPr>
                <w:rFonts w:ascii="Calibri" w:hAnsi="Calibri"/>
                <w:color w:val="000000"/>
                <w:sz w:val="22"/>
              </w:rPr>
              <w:t xml:space="preserve">Rehabilitation including structural repairs, system upgrades, and code compliance.</w:t>
            </w:r>
          </w:p>
        </w:tc>
      </w:tr>
    </w:tbl>
    <w:p w14:paraId="192B4F47" w14:textId="77777777">
      <w:pPr>
        <w:pStyle w:val="Heading2"/>
        <w:pageBreakBefore/>
        <w:widowControl w:val="false"/>
        <w:rPr>
          <w:rFonts w:ascii="Calibri" w:hAnsi="Calibri"/>
          <w:i w:val="false"/>
        </w:rPr>
      </w:pPr>
      <w:bookmarkStart w:name="_Toc309810477" w:id="2"/>
      <w:bookmarkEnd w:id="1"/>
      <w:r>
        <w:rPr>
          <w:rFonts w:ascii="Calibri" w:hAnsi="Calibri"/>
          <w:i w:val="false"/>
        </w:rPr>
        <w:t xml:space="preserve">AP-50 Geographic Distribution – 91.220(f) </w:t>
      </w:r>
      <w:bookmarkEnd w:id="2"/>
    </w:p>
    <w:p w14:paraId="2D8D2266" w14:textId="77777777">
      <w:pPr>
        <w:keepNext/>
        <w:widowControl w:val="false"/>
        <w:rPr>
          <w:b/>
          <w:sz w:val="24"/>
          <w:szCs w:val="24"/>
        </w:rPr>
      </w:pPr>
      <w:r>
        <w:rPr>
          <w:b/>
          <w:sz w:val="24"/>
          <w:szCs w:val="24"/>
        </w:rPr>
        <w:t xml:space="preserve">Description of the geographic areas of the entitlement (including areas of low-income and minority concentration) where assistance will be directed </w:t>
      </w:r>
    </w:p>
    <w:p>
      <w:pPr>
        <w:keepNext/>
        <w:widowControl w:val="false"/>
        <w:spacing w:beforeAutospacing="true" w:afterAutospacing="true"/>
        <w:rPr>
          <w:rFonts w:cs="Arial"/>
          <w:szCs w:val="26"/>
        </w:rPr>
      </w:pPr>
      <w:r>
        <w:rPr>
          <w:rFonts w:cs="Arial"/>
        </w:rPr>
        <w:t xml:space="preserve">The City of Dover will carry out most Community Development Block Grant (CDBG) activities on a citywide basis, with the primary objective of benefiting low- and moderate-income residents. Housing rehabilitation, homeownership assistance, and public service activities will be available throughout the City to eligible households.</w:t>
      </w:r>
    </w:p>
    <w:p>
      <w:pPr>
        <w:keepNext/>
        <w:widowControl w:val="false"/>
        <w:spacing w:beforeAutospacing="true" w:afterAutospacing="true"/>
        <w:rPr>
          <w:rFonts w:cs="Arial"/>
          <w:szCs w:val="26"/>
        </w:rPr>
      </w:pPr>
      <w:r>
        <w:rPr>
          <w:rFonts w:cs="Arial"/>
        </w:rPr>
        <w:t xml:space="preserve">A portion of funding will be directed to the Downtown Target Area to support the development of affordable housing. This targeted investment aligns with the City’s ongoing efforts to revitalize areas with a higher concentration of low- and moderate-income households, as identified through HUD LMI data and local analysis.</w:t>
      </w:r>
    </w:p>
    <w:p w14:paraId="7132BED7" w14:textId="77777777">
      <w:pPr>
        <w:keepNext/>
        <w:widowControl w:val="false"/>
        <w:rPr>
          <w:b/>
          <w:sz w:val="24"/>
          <w:szCs w:val="24"/>
        </w:rPr>
      </w:pPr>
      <w:r>
        <w:rPr>
          <w:b/>
          <w:sz w:val="24"/>
          <w:szCs w:val="24"/>
        </w:rPr>
        <w:t>Geographic Distribution</w:t>
      </w:r>
    </w:p>
    <w:tbl>
      <w:tblPr>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3654"/>
        <w:gridCol w:w="5807"/>
      </w:tblGrid>
      <w:tr w14:paraId="2D050A80" w14:textId="77777777">
        <w:trPr>
          <w:cantSplit/>
          <w:tblHeader/>
        </w:trPr>
        <w:tc>
          <w:tcPr>
            <w:tcW w:w="0" w:type="auto"/>
          </w:tcPr>
          <w:p w14:paraId="42D0383D" w14:textId="77777777">
            <w:pPr>
              <w:keepNext/>
              <w:widowControl w:val="false"/>
              <w:spacing w:after="0" w:line="240" w:lineRule="auto"/>
              <w:jc w:val="center"/>
              <w:rPr>
                <w:b/>
                <w:szCs w:val="24"/>
              </w:rPr>
            </w:pPr>
            <w:r>
              <w:rPr>
                <w:b/>
              </w:rPr>
              <w:t>Target Area</w:t>
            </w:r>
          </w:p>
        </w:tc>
        <w:tc>
          <w:tcPr>
            <w:tcW w:w="0" w:type="auto"/>
          </w:tcPr>
          <w:p w14:paraId="490A58FF" w14:textId="77777777">
            <w:pPr>
              <w:keepNext/>
              <w:widowControl w:val="false"/>
              <w:spacing w:after="0" w:line="240" w:lineRule="auto"/>
              <w:jc w:val="center"/>
              <w:rPr>
                <w:b/>
                <w:szCs w:val="24"/>
              </w:rPr>
            </w:pPr>
            <w:r>
              <w:rPr>
                <w:b/>
              </w:rPr>
              <w:t>Percentage of Funds</w:t>
            </w:r>
          </w:p>
        </w:tc>
      </w:tr>
      <w:tr>
        <w:trPr>
          <w:cantSplit w:val="true"/>
        </w:trPr>
        <w:tc>
          <w:tcPr>
            <w:vAlign w:val="top"/>
          </w:tcPr>
          <w:p>
            <w:pPr>
              <w:spacing w:beforeAutospacing="true" w:afterAutospacing="true"/>
              <w:jc w:val="left"/>
            </w:pPr>
            <w:r>
              <w:rPr>
                <w:rFonts w:ascii="Calibri" w:hAnsi="Calibri"/>
                <w:color w:val="000000"/>
                <w:sz w:val="22"/>
              </w:rPr>
              <w:t xml:space="preserve">Downtown Target Area</w:t>
            </w:r>
          </w:p>
        </w:tc>
        <w:tc>
          <w:tcPr>
            <w:vAlign w:val="bottom"/>
          </w:tcPr>
          <w:p>
            <w:pPr>
              <w:spacing w:beforeAutospacing="true" w:afterAutospacing="true"/>
              <w:jc w:val="right"/>
            </w:pPr>
            <w:r>
              <w:rPr>
                <w:rFonts w:ascii="Calibri" w:hAnsi="Calibri"/>
                <w:color w:val="000000"/>
                <w:sz w:val="22"/>
              </w:rPr>
              <w:t xml:space="preserve">92</w:t>
            </w:r>
          </w:p>
        </w:tc>
      </w:tr>
      <w:tr>
        <w:trPr>
          <w:cantSplit w:val="true"/>
        </w:trPr>
        <w:tc>
          <w:tcPr>
            <w:vAlign w:val="top"/>
          </w:tcPr>
          <w:p>
            <w:pPr>
              <w:spacing w:beforeAutospacing="true" w:afterAutospacing="true"/>
              <w:jc w:val="left"/>
            </w:pPr>
            <w:r>
              <w:rPr>
                <w:rFonts w:ascii="Calibri" w:hAnsi="Calibri"/>
                <w:color w:val="000000"/>
                <w:sz w:val="22"/>
              </w:rPr>
              <w:t xml:space="preserve">Dover City Limits</w:t>
            </w:r>
          </w:p>
        </w:tc>
        <w:tc>
          <w:tcPr>
            <w:vAlign w:val="bottom"/>
          </w:tcPr>
          <w:p>
            <w:pPr>
              <w:spacing w:beforeAutospacing="true" w:afterAutospacing="true"/>
              <w:jc w:val="right"/>
            </w:pPr>
            <w:r>
              <w:rPr>
                <w:rFonts w:ascii="Calibri" w:hAnsi="Calibri"/>
                <w:color w:val="000000"/>
                <w:sz w:val="22"/>
              </w:rPr>
              <w:t xml:space="preserve">8</w:t>
            </w:r>
          </w:p>
        </w:tc>
      </w:tr>
    </w:tbl>
    <w:p w14:paraId="42C64055" w14:textId="77777777">
      <w:pPr>
        <w:pStyle w:val="Caption"/>
        <w:rPr>
          <w:rFonts w:asciiTheme="minorHAnsi" w:hAnsiTheme="minorHAnsi"/>
        </w:rPr>
      </w:pPr>
      <w:r>
        <w:rPr>
          <w:rFonts w:asciiTheme="minorHAnsi" w:hAnsiTheme="minorHAnsi"/>
        </w:rPr>
        <w:t xml:space="preserve">Table </w:t>
        <w:fldChar w:fldCharType="begin"/>
        <w:instrText xml:space="preserve"> SEQ Table \* ARABIC </w:instrText>
        <w:fldChar w:fldCharType="separate"/>
        <w:t>4</w:t>
        <w:fldChar w:fldCharType="end"/>
        <w:t xml:space="preserve"> - Geographic Distribution </w:t>
      </w:r>
    </w:p>
    <w:p w14:paraId="4A9EC256" w14:textId="77777777">
      <w:pPr>
        <w:spacing w:after="0" w:line="240" w:lineRule="auto"/>
        <w:rPr>
          <w:b/>
          <w:sz w:val="24"/>
          <w:szCs w:val="24"/>
        </w:rPr>
      </w:pPr>
    </w:p>
    <w:p w14:paraId="479245B1" w14:textId="77777777">
      <w:pPr>
        <w:keepNext/>
        <w:widowControl w:val="false"/>
        <w:rPr>
          <w:b/>
          <w:sz w:val="24"/>
          <w:szCs w:val="24"/>
        </w:rPr>
      </w:pPr>
      <w:r>
        <w:rPr>
          <w:b/>
          <w:sz w:val="24"/>
          <w:szCs w:val="24"/>
        </w:rPr>
        <w:t xml:space="preserve">Rationale for the priorities for allocating investments geographically </w:t>
      </w:r>
    </w:p>
    <w:p>
      <w:pPr>
        <w:keepNext/>
        <w:widowControl w:val="false"/>
        <w:spacing w:beforeAutospacing="true" w:afterAutospacing="true"/>
        <w:rPr>
          <w:rFonts w:cs="Arial"/>
          <w:szCs w:val="24"/>
        </w:rPr>
      </w:pPr>
      <w:r>
        <w:rPr>
          <w:rFonts w:cs="Arial"/>
        </w:rPr>
        <w:t xml:space="preserve">The City’s geographic distribution strategy balances the need for flexible, citywide programs with targeted investments in areas of greatest need. While many programs are demand-based and must be available citywide, targeted funding in the Downtown area supports neighborhood revitalization and expands affordable housing opportunities in areas with higher concentrations of low- and moderate-income residents.</w:t>
      </w:r>
    </w:p>
    <w:p w14:paraId="7B99F60A" w14:textId="77777777">
      <w:pPr>
        <w:keepNext/>
        <w:widowControl w:val="false"/>
        <w:spacing w:line="204" w:lineRule="auto"/>
        <w:rPr>
          <w:b/>
          <w:sz w:val="24"/>
          <w:szCs w:val="24"/>
        </w:rPr>
      </w:pPr>
      <w:r>
        <w:rPr>
          <w:b/>
          <w:sz w:val="24"/>
          <w:szCs w:val="24"/>
        </w:rPr>
        <w:t>Discussion</w:t>
      </w:r>
    </w:p>
    <w:p>
      <w:pPr>
        <w:keepNext/>
        <w:widowControl w:val="false"/>
        <w:spacing w:beforeAutospacing="true" w:afterAutospacing="true"/>
        <w:rPr>
          <w:b/>
          <w:sz w:val="24"/>
          <w:szCs w:val="24"/>
        </w:rPr>
      </w:pPr>
      <w:r>
        <w:rPr>
          <w:rFonts w:cs="Arial"/>
        </w:rPr>
        <w:t xml:space="preserve">The City of Dover continues to focus revitalization efforts within the Downtown Target Area, which includes one of the City’s older neighborhoods with a higher concentration of low- and moderate-income households. This area contains an aging housing stock and has historically experienced a greater need for housing rehabilitation and investment.</w:t>
      </w:r>
    </w:p>
    <w:p>
      <w:pPr>
        <w:keepNext/>
        <w:widowControl w:val="false"/>
        <w:spacing w:beforeAutospacing="true" w:afterAutospacing="true"/>
        <w:rPr>
          <w:b/>
          <w:sz w:val="24"/>
          <w:szCs w:val="24"/>
        </w:rPr>
      </w:pPr>
      <w:r>
        <w:rPr>
          <w:rFonts w:cs="Arial"/>
        </w:rPr>
        <w:t xml:space="preserve">Targeted investments in this area are intended to complement broader citywide programs by concentrating resources where they can have a visible and lasting impact. The development of affordable housing within the Downtown Target Area supports neighborhood stabilization, increases access to quality housing, and aligns with the City’s long-term revitalization goals.</w:t>
      </w:r>
    </w:p>
    <w:p>
      <w:pPr>
        <w:keepNext/>
        <w:widowControl w:val="false"/>
        <w:spacing w:beforeAutospacing="true" w:afterAutospacing="true"/>
        <w:rPr>
          <w:b/>
          <w:sz w:val="24"/>
          <w:szCs w:val="24"/>
        </w:rPr>
      </w:pPr>
      <w:r>
        <w:rPr>
          <w:rFonts w:cs="Arial"/>
        </w:rPr>
        <w:t xml:space="preserve">While many CDBG-funded activities are made available citywide to ensure accessibility, the City continues to prioritize strategic investments in areas where needs are most significant and where coordinated efforts can produce meaningful community improvements.</w:t>
      </w:r>
    </w:p>
    <w:p w14:paraId="5480C6DF" w14:textId="77777777">
      <w:pPr>
        <w:rPr>
          <w:rFonts w:cs="Arial"/>
        </w:rPr>
      </w:pPr>
    </w:p>
    <w:p w14:paraId="6B5A3612" w14:textId="77777777">
      <w:pPr>
        <w:pStyle w:val="Heading1"/>
        <w:pageBreakBefore/>
        <w:jc w:val="center"/>
        <w:rPr>
          <w:rFonts w:ascii="Calibri" w:hAnsi="Calibri"/>
          <w:color w:val="auto"/>
          <w:sz w:val="32"/>
          <w:szCs w:val="32"/>
        </w:rPr>
      </w:pPr>
      <w:r>
        <w:rPr>
          <w:rFonts w:ascii="Calibri" w:hAnsi="Calibri"/>
          <w:color w:val="auto"/>
          <w:sz w:val="32"/>
          <w:szCs w:val="32"/>
        </w:rPr>
        <w:t xml:space="preserve">Affordable Housing </w:t>
      </w:r>
    </w:p>
    <w:p w14:paraId="7ED9414D" w14:textId="77777777">
      <w:pPr>
        <w:pStyle w:val="Heading2"/>
        <w:widowControl w:val="false"/>
        <w:rPr>
          <w:rFonts w:ascii="Calibri" w:hAnsi="Calibri"/>
          <w:i w:val="false"/>
        </w:rPr>
      </w:pPr>
      <w:r>
        <w:rPr>
          <w:rFonts w:ascii="Calibri" w:hAnsi="Calibri"/>
          <w:i w:val="false"/>
        </w:rPr>
        <w:t xml:space="preserve">AP-55 Affordable Housing – 91.220(g) </w:t>
      </w:r>
    </w:p>
    <w:p w14:paraId="6FAB3569" w14:textId="77777777">
      <w:pPr>
        <w:keepNext/>
        <w:widowControl w:val="false"/>
        <w:spacing w:line="204" w:lineRule="auto"/>
        <w:rPr>
          <w:b/>
          <w:sz w:val="28"/>
          <w:szCs w:val="28"/>
        </w:rPr>
      </w:pPr>
      <w:r>
        <w:rPr>
          <w:b/>
          <w:sz w:val="24"/>
          <w:szCs w:val="24"/>
        </w:rPr>
        <w:t>Introduction</w:t>
      </w:r>
    </w:p>
    <w:p>
      <w:pPr>
        <w:keepNext/>
        <w:widowControl w:val="false"/>
        <w:spacing w:beforeAutospacing="true" w:afterAutospacing="true"/>
        <w:rPr>
          <w:b/>
          <w:sz w:val="24"/>
          <w:szCs w:val="24"/>
        </w:rPr>
      </w:pPr>
      <w:r>
        <w:rPr/>
        <w:t xml:space="preserve">The City of Dover recognizes the ongoing need for affordable housing for low- and moderate-income residents. Through the use of CDBG funds, the City supports a range of housing activities, including homeownership assistance, housing rehabilitation, and the development of new affordable housing units. These efforts are designed to improve housing conditions, increase access to homeownership, and expand the availability of safe and affordable housing.</w:t>
      </w:r>
    </w:p>
    <w:tbl>
      <w:tblPr>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853"/>
        <w:gridCol w:w="1620"/>
      </w:tblGrid>
      <w:tr w14:paraId="0223F7C5" w14:textId="77777777">
        <w:trPr>
          <w:cantSplit/>
          <w:tblHeader/>
        </w:trPr>
        <w:tc>
          <w:tcPr>
            <w:tcW w:w="6473" w:type="dxa"/>
            <w:gridSpan w:val="2"/>
          </w:tcPr>
          <w:p w14:paraId="52FAFF60" w14:textId="77777777">
            <w:pPr>
              <w:keepNext/>
              <w:widowControl w:val="false"/>
              <w:spacing w:after="0" w:line="240" w:lineRule="auto"/>
              <w:jc w:val="center"/>
              <w:rPr>
                <w:b/>
                <w:szCs w:val="24"/>
              </w:rPr>
            </w:pPr>
            <w:r>
              <w:rPr>
                <w:b/>
              </w:rPr>
              <w:t>One Year Goals for the Number of Households to be Supported</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Homeless</w:t>
            </w:r>
          </w:p>
        </w:tc>
        <w:tc>
          <w:tcPr>
            <w:tcBorders>
              <w:top w:val="nil"/>
              <w:bottom w:val="nil"/>
            </w:tcBorders>
            <w:vAlign w:val="bottom"/>
          </w:tcPr>
          <w:p>
            <w:pPr>
              <w:spacing w:beforeAutospacing="true" w:afterAutospacing="true"/>
              <w:jc w:val="right"/>
            </w:pPr>
            <w:r>
              <w:rPr>
                <w:rFonts w:ascii="Calibri" w:hAnsi="Calibri"/>
                <w:color w:val="000000"/>
                <w:sz w:val="22"/>
              </w:rPr>
              <w:t xml:space="preserve">150</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Non-Homeless</w:t>
            </w:r>
          </w:p>
        </w:tc>
        <w:tc>
          <w:tcPr>
            <w:tcBorders>
              <w:top w:val="nil"/>
              <w:bottom w:val="nil"/>
            </w:tcBorders>
            <w:vAlign w:val="bottom"/>
          </w:tcPr>
          <w:p>
            <w:pPr>
              <w:spacing w:beforeAutospacing="true" w:afterAutospacing="true"/>
              <w:jc w:val="right"/>
            </w:pPr>
            <w:r>
              <w:rPr>
                <w:rFonts w:ascii="Calibri" w:hAnsi="Calibri"/>
                <w:color w:val="000000"/>
                <w:sz w:val="22"/>
              </w:rPr>
              <w:t xml:space="preserve">14</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Special-Needs</w:t>
            </w:r>
          </w:p>
        </w:tc>
        <w:tc>
          <w:tcPr>
            <w:tcBorders>
              <w:top w:val="nil"/>
              <w:bottom w:val="nil"/>
            </w:tcBorders>
            <w:vAlign w:val="bottom"/>
          </w:tcPr>
          <w:p>
            <w:pPr>
              <w:spacing w:beforeAutospacing="true" w:afterAutospacing="true"/>
              <w:jc w:val="right"/>
            </w:pPr>
            <w:r>
              <w:rPr>
                <w:rFonts w:ascii="Calibri" w:hAnsi="Calibri"/>
                <w:color w:val="000000"/>
                <w:sz w:val="22"/>
              </w:rPr>
              <w:t xml:space="preserve">0</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Total</w:t>
            </w:r>
          </w:p>
        </w:tc>
        <w:tc>
          <w:tcPr>
            <w:tcBorders>
              <w:top w:val="nil"/>
              <w:bottom w:val="nil"/>
            </w:tcBorders>
            <w:vAlign w:val="bottom"/>
          </w:tcPr>
          <w:p>
            <w:pPr>
              <w:spacing w:beforeAutospacing="true" w:afterAutospacing="true"/>
              <w:jc w:val="right"/>
            </w:pPr>
            <w:r>
              <w:rPr>
                <w:rFonts w:ascii="Calibri" w:hAnsi="Calibri"/>
                <w:color w:val="000000"/>
                <w:sz w:val="22"/>
              </w:rPr>
              <w:t xml:space="preserve">164</w:t>
            </w:r>
          </w:p>
        </w:tc>
      </w:tr>
    </w:tbl>
    <w:p w14:paraId="1FB03AD8" w14:textId="77777777">
      <w:pPr>
        <w:pStyle w:val="Caption"/>
        <w:rPr>
          <w:rFonts w:asciiTheme="minorHAnsi" w:hAnsiTheme="minorHAnsi"/>
        </w:rPr>
      </w:pPr>
      <w:r>
        <w:rPr>
          <w:rFonts w:asciiTheme="minorHAnsi" w:hAnsiTheme="minorHAnsi"/>
        </w:rPr>
        <w:t xml:space="preserve">Table </w:t>
        <w:fldChar w:fldCharType="begin"/>
        <w:instrText xml:space="preserve"> SEQ Table \* ARABIC </w:instrText>
        <w:fldChar w:fldCharType="separate"/>
        <w:t>6</w:t>
        <w:fldChar w:fldCharType="end"/>
        <w:t xml:space="preserve"> - One Year Goals for Affordable Housing by Support Requirement</w:t>
      </w:r>
    </w:p>
    <w:p w14:paraId="46CE2AD6" w14:textId="77777777">
      <w:pPr>
        <w:rPr>
          <w:b/>
          <w:sz w:val="20"/>
          <w:szCs w:val="20"/>
        </w:rPr>
      </w:pPr>
    </w:p>
    <w:tbl>
      <w:tblPr>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853"/>
        <w:gridCol w:w="1620"/>
      </w:tblGrid>
      <w:tr w14:paraId="4B147DD3" w14:textId="77777777">
        <w:trPr>
          <w:cantSplit/>
          <w:tblHeader/>
        </w:trPr>
        <w:tc>
          <w:tcPr>
            <w:tcW w:w="6473" w:type="dxa"/>
            <w:gridSpan w:val="2"/>
          </w:tcPr>
          <w:p w14:paraId="6E4E40AF" w14:textId="77777777">
            <w:pPr>
              <w:keepNext/>
              <w:widowControl w:val="false"/>
              <w:spacing w:after="0" w:line="240" w:lineRule="auto"/>
              <w:jc w:val="center"/>
              <w:rPr>
                <w:b/>
                <w:szCs w:val="24"/>
              </w:rPr>
            </w:pPr>
            <w:r>
              <w:rPr>
                <w:b/>
              </w:rPr>
              <w:t>One Year Goals for the Number of Households Supported Through</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Rental Assistance</w:t>
            </w:r>
          </w:p>
        </w:tc>
        <w:tc>
          <w:tcPr>
            <w:tcBorders>
              <w:top w:val="nil"/>
              <w:bottom w:val="nil"/>
            </w:tcBorders>
            <w:vAlign w:val="bottom"/>
          </w:tcPr>
          <w:p>
            <w:pPr>
              <w:spacing w:beforeAutospacing="true" w:afterAutospacing="true"/>
              <w:jc w:val="right"/>
            </w:pPr>
            <w:r>
              <w:rPr>
                <w:rFonts w:ascii="Calibri" w:hAnsi="Calibri"/>
                <w:color w:val="000000"/>
                <w:sz w:val="22"/>
              </w:rPr>
              <w:t xml:space="preserve">0</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The Production of New Units</w:t>
            </w:r>
          </w:p>
        </w:tc>
        <w:tc>
          <w:tcPr>
            <w:tcBorders>
              <w:top w:val="nil"/>
              <w:bottom w:val="nil"/>
            </w:tcBorders>
            <w:vAlign w:val="bottom"/>
          </w:tcPr>
          <w:p>
            <w:pPr>
              <w:spacing w:beforeAutospacing="true" w:afterAutospacing="true"/>
              <w:jc w:val="right"/>
            </w:pPr>
            <w:r>
              <w:rPr>
                <w:rFonts w:ascii="Calibri" w:hAnsi="Calibri"/>
                <w:color w:val="000000"/>
                <w:sz w:val="22"/>
              </w:rPr>
              <w:t xml:space="preserve">1</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Rehab of Existing Units</w:t>
            </w:r>
          </w:p>
        </w:tc>
        <w:tc>
          <w:tcPr>
            <w:tcBorders>
              <w:top w:val="nil"/>
              <w:bottom w:val="nil"/>
            </w:tcBorders>
            <w:vAlign w:val="bottom"/>
          </w:tcPr>
          <w:p>
            <w:pPr>
              <w:spacing w:beforeAutospacing="true" w:afterAutospacing="true"/>
              <w:jc w:val="right"/>
            </w:pPr>
            <w:r>
              <w:rPr>
                <w:rFonts w:ascii="Calibri" w:hAnsi="Calibri"/>
                <w:color w:val="000000"/>
                <w:sz w:val="22"/>
              </w:rPr>
              <w:t xml:space="preserve">9</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Acquisition of Existing Units</w:t>
            </w:r>
          </w:p>
        </w:tc>
        <w:tc>
          <w:tcPr>
            <w:tcBorders>
              <w:top w:val="nil"/>
              <w:bottom w:val="nil"/>
            </w:tcBorders>
            <w:vAlign w:val="bottom"/>
          </w:tcPr>
          <w:p>
            <w:pPr>
              <w:spacing w:beforeAutospacing="true" w:afterAutospacing="true"/>
              <w:jc w:val="right"/>
            </w:pPr>
            <w:r>
              <w:rPr>
                <w:rFonts w:ascii="Calibri" w:hAnsi="Calibri"/>
                <w:color w:val="000000"/>
                <w:sz w:val="22"/>
              </w:rPr>
              <w:t xml:space="preserve">0</w:t>
            </w:r>
          </w:p>
        </w:tc>
      </w:tr>
      <w:tr>
        <w:trPr>
          <w:cantSplit w:val="true"/>
        </w:trPr>
        <w:tc>
          <w:tcPr>
            <w:tcBorders>
              <w:top w:val="nil"/>
              <w:bottom w:val="nil"/>
            </w:tcBorders>
            <w:vAlign w:val="bottom"/>
          </w:tcPr>
          <w:p>
            <w:pPr>
              <w:spacing w:beforeAutospacing="true" w:afterAutospacing="true"/>
              <w:jc w:val="left"/>
            </w:pPr>
            <w:r>
              <w:rPr>
                <w:rFonts w:ascii="Calibri" w:hAnsi="Calibri"/>
                <w:color w:val="000000"/>
                <w:sz w:val="22"/>
              </w:rPr>
              <w:t xml:space="preserve">Total</w:t>
            </w:r>
          </w:p>
        </w:tc>
        <w:tc>
          <w:tcPr>
            <w:tcBorders>
              <w:top w:val="nil"/>
              <w:bottom w:val="nil"/>
            </w:tcBorders>
            <w:vAlign w:val="bottom"/>
          </w:tcPr>
          <w:p>
            <w:pPr>
              <w:spacing w:beforeAutospacing="true" w:afterAutospacing="true"/>
              <w:jc w:val="right"/>
            </w:pPr>
            <w:r>
              <w:rPr>
                <w:rFonts w:ascii="Calibri" w:hAnsi="Calibri"/>
                <w:color w:val="000000"/>
                <w:sz w:val="22"/>
              </w:rPr>
              <w:t xml:space="preserve">10</w:t>
            </w:r>
          </w:p>
        </w:tc>
      </w:tr>
    </w:tbl>
    <w:p w14:paraId="22F04B4A" w14:textId="77777777">
      <w:pPr>
        <w:pStyle w:val="Caption"/>
        <w:rPr>
          <w:rFonts w:asciiTheme="minorHAnsi" w:hAnsiTheme="minorHAnsi"/>
        </w:rPr>
      </w:pPr>
      <w:r>
        <w:rPr>
          <w:rFonts w:asciiTheme="minorHAnsi" w:hAnsiTheme="minorHAnsi"/>
        </w:rPr>
        <w:t xml:space="preserve">Table </w:t>
        <w:fldChar w:fldCharType="begin"/>
        <w:instrText xml:space="preserve"> SEQ Table \* ARABIC </w:instrText>
        <w:fldChar w:fldCharType="separate"/>
        <w:t>7</w:t>
        <w:fldChar w:fldCharType="end"/>
        <w:t xml:space="preserve"> - One Year Goals for Affordable Housing by Support Type</w:t>
      </w:r>
    </w:p>
    <w:p w14:paraId="778511BF" w14:textId="77777777">
      <w:pPr>
        <w:keepNext/>
        <w:widowControl w:val="false"/>
        <w:spacing w:line="204" w:lineRule="auto"/>
        <w:rPr>
          <w:b/>
          <w:sz w:val="24"/>
          <w:szCs w:val="24"/>
        </w:rPr>
      </w:pPr>
    </w:p>
    <w:p w14:paraId="4706D19C" w14:textId="77777777">
      <w:pPr>
        <w:keepNext/>
        <w:widowControl w:val="false"/>
        <w:spacing w:line="204" w:lineRule="auto"/>
        <w:rPr>
          <w:b/>
          <w:sz w:val="24"/>
          <w:szCs w:val="24"/>
        </w:rPr>
      </w:pPr>
      <w:r>
        <w:rPr>
          <w:b/>
          <w:sz w:val="24"/>
          <w:szCs w:val="24"/>
        </w:rPr>
        <w:t>Discussion</w:t>
      </w:r>
    </w:p>
    <w:p>
      <w:pPr>
        <w:keepNext/>
        <w:widowControl w:val="false"/>
        <w:spacing w:beforeAutospacing="true" w:afterAutospacing="true"/>
        <w:rPr>
          <w:b/>
          <w:sz w:val="24"/>
          <w:szCs w:val="24"/>
        </w:rPr>
      </w:pPr>
      <w:r>
        <w:rPr>
          <w:rFonts w:cs="Arial"/>
        </w:rPr>
        <w:t xml:space="preserve">Special needs populations are served through public service activities rather than housing production or direct housing assistance goals.</w:t>
      </w:r>
    </w:p>
    <w:p w14:paraId="135320DA" w14:textId="77777777">
      <w:pPr>
        <w:rPr>
          <w:rFonts w:cs="Arial"/>
        </w:rPr>
      </w:pPr>
    </w:p>
    <w:p w14:paraId="77200410" w14:textId="77777777">
      <w:pPr>
        <w:rPr>
          <w:rFonts w:cs="Arial"/>
        </w:rPr>
      </w:pPr>
    </w:p>
    <w:p w14:paraId="2248D4D9" w14:textId="77777777">
      <w:pPr>
        <w:pStyle w:val="Heading2"/>
        <w:pageBreakBefore/>
        <w:widowControl w:val="false"/>
        <w:rPr>
          <w:rFonts w:ascii="Calibri" w:hAnsi="Calibri"/>
          <w:i w:val="false"/>
        </w:rPr>
      </w:pPr>
      <w:r>
        <w:rPr>
          <w:rFonts w:ascii="Calibri" w:hAnsi="Calibri"/>
          <w:i w:val="false"/>
        </w:rPr>
        <w:t xml:space="preserve">AP-60 Public Housing </w:t>
      </w:r>
      <w:r>
        <w:t>–</w:t>
      </w:r>
      <w:r>
        <w:rPr>
          <w:i w:val="false"/>
        </w:rPr>
        <w:t xml:space="preserve"> 91.220(h)</w:t>
      </w:r>
    </w:p>
    <w:p w14:paraId="5F1A4632" w14:textId="77777777">
      <w:pPr>
        <w:keepNext/>
        <w:widowControl w:val="false"/>
        <w:spacing w:line="204" w:lineRule="auto"/>
        <w:rPr>
          <w:b/>
          <w:sz w:val="24"/>
          <w:szCs w:val="24"/>
        </w:rPr>
      </w:pPr>
      <w:r>
        <w:rPr>
          <w:b/>
          <w:sz w:val="24"/>
          <w:szCs w:val="24"/>
        </w:rPr>
        <w:t>Introduction</w:t>
      </w:r>
    </w:p>
    <w:p>
      <w:pPr>
        <w:keepNext/>
        <w:widowControl w:val="false"/>
        <w:spacing w:beforeAutospacing="true" w:afterAutospacing="true"/>
        <w:rPr>
          <w:b/>
          <w:sz w:val="24"/>
          <w:szCs w:val="24"/>
        </w:rPr>
      </w:pPr>
      <w:r>
        <w:rPr>
          <w:rFonts w:cs="Arial"/>
        </w:rPr>
        <w:t xml:space="preserve">The Dover Housing Authority (DHA) is the primary public housing agency serving the City of Dover. DHA provides affordable housing opportunities to low-income families, elderly residents, and individuals with disabilities through a variety of federally funded programs.</w:t>
      </w:r>
    </w:p>
    <w:p w14:paraId="4633D378" w14:textId="77777777">
      <w:pPr>
        <w:keepNext/>
        <w:widowControl w:val="false"/>
        <w:rPr>
          <w:b/>
          <w:sz w:val="24"/>
          <w:szCs w:val="24"/>
        </w:rPr>
      </w:pPr>
      <w:r>
        <w:rPr>
          <w:b/>
          <w:sz w:val="24"/>
          <w:szCs w:val="24"/>
        </w:rPr>
        <w:t>Actions planned during the next year to address the needs to public housing</w:t>
      </w:r>
    </w:p>
    <w:p>
      <w:pPr>
        <w:keepNext/>
        <w:widowControl w:val="false"/>
        <w:spacing w:beforeAutospacing="true" w:afterAutospacing="true"/>
        <w:rPr>
          <w:rFonts w:cs="Arial"/>
        </w:rPr>
      </w:pPr>
      <w:r>
        <w:rPr>
          <w:rFonts w:cs="Arial"/>
        </w:rPr>
        <w:t xml:space="preserve">The City of Dover will continue to coordinate with the Dover Housing Authority to support the provision of safe, decent, and affordable housing for low-income residents. DHA administers public housing and housing assistance programs designed to meet the needs of eligible households, including families, seniors, and persons with disabilities.</w:t>
      </w:r>
    </w:p>
    <w:p>
      <w:pPr>
        <w:keepNext/>
        <w:widowControl w:val="false"/>
        <w:spacing w:beforeAutospacing="true" w:afterAutospacing="true"/>
        <w:rPr>
          <w:rFonts w:cs="Arial"/>
        </w:rPr>
      </w:pPr>
      <w:r>
        <w:rPr>
          <w:rFonts w:cs="Arial"/>
        </w:rPr>
        <w:t xml:space="preserve">The City supports these efforts through collaboration with housing providers and by funding activities that complement public housing programs, including housing rehabilitation, homeownership assistance, and services for vulnerable populations.</w:t>
      </w:r>
    </w:p>
    <w:p w14:paraId="575260E6" w14:textId="77777777">
      <w:pPr>
        <w:keepNext/>
        <w:widowControl w:val="false"/>
        <w:rPr>
          <w:b/>
          <w:sz w:val="24"/>
          <w:szCs w:val="24"/>
        </w:rPr>
      </w:pPr>
      <w:r>
        <w:rPr>
          <w:b/>
          <w:sz w:val="24"/>
          <w:szCs w:val="24"/>
        </w:rPr>
        <w:t>Actions to encourage public housing residents to become more involved in management and participate in homeownership</w:t>
      </w:r>
    </w:p>
    <w:p>
      <w:pPr>
        <w:keepNext/>
        <w:widowControl w:val="false"/>
        <w:spacing w:beforeAutospacing="true" w:afterAutospacing="true"/>
        <w:rPr>
          <w:rFonts w:cs="Arial"/>
        </w:rPr>
      </w:pPr>
      <w:r>
        <w:rPr>
          <w:rFonts w:cs="Arial"/>
        </w:rPr>
        <w:t xml:space="preserve">The Dover Housing Authority offers programs and services that encourage residents to achieve greater economic self-sufficiency. These efforts include access to supportive services, housing counseling, and programs that assist residents in transitioning to homeownership opportunities.</w:t>
      </w:r>
    </w:p>
    <w:p>
      <w:pPr>
        <w:keepNext/>
        <w:widowControl w:val="false"/>
        <w:spacing w:beforeAutospacing="true" w:afterAutospacing="true"/>
        <w:rPr>
          <w:rFonts w:cs="Arial"/>
        </w:rPr>
      </w:pPr>
      <w:r>
        <w:rPr>
          <w:rFonts w:cs="Arial"/>
        </w:rPr>
        <w:t xml:space="preserve">The City of Dover complements these efforts by providing homeownership assistance programs that are available to eligible residents, including those transitioning from rental housing.</w:t>
      </w:r>
    </w:p>
    <w:p w14:paraId="0621305A" w14:textId="77777777">
      <w:pPr>
        <w:keepNext/>
        <w:widowControl w:val="false"/>
        <w:rPr>
          <w:b/>
          <w:sz w:val="24"/>
          <w:szCs w:val="24"/>
        </w:rPr>
      </w:pPr>
      <w:r>
        <w:rPr>
          <w:b/>
          <w:sz w:val="24"/>
          <w:szCs w:val="24"/>
        </w:rPr>
        <w:t xml:space="preserve">If the PHA is designated as troubled, describe the manner in which financial assistance will be provided or other assistance </w:t>
      </w:r>
    </w:p>
    <w:p>
      <w:pPr>
        <w:keepNext/>
        <w:widowControl w:val="false"/>
        <w:spacing w:beforeAutospacing="true" w:afterAutospacing="true"/>
        <w:rPr>
          <w:rFonts w:cs="Arial"/>
          <w:szCs w:val="26"/>
        </w:rPr>
      </w:pPr>
      <w:r>
        <w:rPr>
          <w:rFonts w:cs="Arial"/>
        </w:rPr>
        <w:t xml:space="preserve">The Dover Housing Authority is not currently designated as a troubled public housing agency. Therefore, no additional actions are required at this time.</w:t>
      </w:r>
    </w:p>
    <w:p w14:paraId="78CAD76B" w14:textId="77777777">
      <w:pPr>
        <w:keepNext/>
        <w:widowControl w:val="false"/>
        <w:spacing w:line="204" w:lineRule="auto"/>
        <w:rPr>
          <w:b/>
          <w:sz w:val="24"/>
          <w:szCs w:val="24"/>
        </w:rPr>
      </w:pPr>
      <w:r>
        <w:rPr>
          <w:b/>
          <w:sz w:val="24"/>
          <w:szCs w:val="24"/>
        </w:rPr>
        <w:t>Discussion</w:t>
      </w:r>
    </w:p>
    <w:p>
      <w:pPr>
        <w:keepNext/>
        <w:widowControl w:val="false"/>
        <w:spacing w:beforeAutospacing="true" w:afterAutospacing="true"/>
        <w:rPr>
          <w:b/>
          <w:sz w:val="24"/>
          <w:szCs w:val="24"/>
        </w:rPr>
      </w:pPr>
      <w:r>
        <w:rPr>
          <w:rFonts w:cs="Arial"/>
        </w:rPr>
        <w:t xml:space="preserve">These activities are consistent with the goals of the Consolidated Plan and reflect ongoing efforts to address identified community needs.</w:t>
      </w:r>
    </w:p>
    <w:p w14:paraId="4406E933" w14:textId="77777777">
      <w:pPr>
        <w:pStyle w:val="Heading2"/>
        <w:pageBreakBefore/>
        <w:widowControl w:val="false"/>
        <w:rPr>
          <w:rFonts w:ascii="Calibri" w:hAnsi="Calibri"/>
          <w:i w:val="false"/>
        </w:rPr>
      </w:pPr>
      <w:r>
        <w:rPr>
          <w:rFonts w:ascii="Calibri" w:hAnsi="Calibri"/>
          <w:i w:val="false"/>
        </w:rPr>
        <w:t>AP-65 Homeless and Other Special Needs Activities – 91.220(i)</w:t>
      </w:r>
    </w:p>
    <w:p w14:paraId="582D2563" w14:textId="77777777">
      <w:pPr>
        <w:keepNext/>
        <w:widowControl w:val="false"/>
        <w:spacing w:line="204" w:lineRule="auto"/>
        <w:rPr>
          <w:b/>
          <w:sz w:val="24"/>
          <w:szCs w:val="24"/>
        </w:rPr>
      </w:pPr>
      <w:r>
        <w:rPr>
          <w:b/>
          <w:sz w:val="24"/>
          <w:szCs w:val="24"/>
        </w:rPr>
        <w:t>Introduction</w:t>
      </w:r>
    </w:p>
    <w:p>
      <w:pPr>
        <w:keepNext/>
        <w:widowControl w:val="false"/>
        <w:spacing w:beforeAutospacing="true" w:afterAutospacing="true"/>
        <w:rPr>
          <w:b/>
          <w:sz w:val="24"/>
          <w:szCs w:val="24"/>
        </w:rPr>
      </w:pPr>
      <w:r>
        <w:rPr>
          <w:rFonts w:cs="Arial"/>
        </w:rPr>
        <w:t xml:space="preserve">The City of Dover is committed to addressing the needs of individuals and families experiencing homelessness and those at risk of homelessness. Through coordination with local service providers and the Continuum of Care, the City supports programs that provide shelter, supportive services, and pathways to stable housing.</w:t>
      </w:r>
    </w:p>
    <w:p w14:paraId="3EF0E2BA" w14:textId="77777777">
      <w:pPr>
        <w:keepNext/>
        <w:widowControl w:val="false"/>
        <w:rPr>
          <w:b/>
          <w:sz w:val="24"/>
          <w:szCs w:val="24"/>
        </w:rPr>
      </w:pPr>
      <w:r>
        <w:rPr>
          <w:b/>
          <w:sz w:val="24"/>
          <w:szCs w:val="24"/>
        </w:rPr>
        <w:t>Describe the jurisdictions one-year goals and actions for reducing and ending homelessness including</w:t>
      </w:r>
    </w:p>
    <w:p w14:paraId="3A36D1E9" w14:textId="77777777">
      <w:pPr>
        <w:keepNext/>
        <w:widowControl w:val="false"/>
        <w:rPr>
          <w:b/>
          <w:sz w:val="24"/>
          <w:szCs w:val="24"/>
        </w:rPr>
      </w:pPr>
      <w:r>
        <w:rPr>
          <w:b/>
          <w:sz w:val="24"/>
          <w:szCs w:val="24"/>
        </w:rPr>
        <w:t>Reaching out to homeless persons (especially unsheltered persons) and assessing their individual needs</w:t>
      </w:r>
    </w:p>
    <w:p>
      <w:pPr>
        <w:keepNext/>
        <w:widowControl w:val="false"/>
        <w:spacing w:beforeAutospacing="true" w:afterAutospacing="true"/>
        <w:rPr>
          <w:rFonts w:cs="Arial"/>
        </w:rPr>
      </w:pPr>
      <w:r>
        <w:rPr>
          <w:rFonts w:cs="Arial"/>
        </w:rPr>
        <w:t xml:space="preserve">The City supports outreach efforts through partnerships with local service providers, including the Central Delaware Housing Collaborative (CDHC), which provides shelter and supportive services to individuals experiencing homelessness. These programs help identify individuals in need and connect them to appropriate housing and services.</w:t>
      </w:r>
    </w:p>
    <w:p w14:paraId="2FCBC981" w14:textId="77777777">
      <w:pPr>
        <w:keepNext/>
        <w:widowControl w:val="false"/>
        <w:rPr>
          <w:b/>
          <w:sz w:val="24"/>
          <w:szCs w:val="24"/>
        </w:rPr>
      </w:pPr>
      <w:r>
        <w:rPr>
          <w:b/>
          <w:sz w:val="24"/>
          <w:szCs w:val="24"/>
        </w:rPr>
        <w:t>Addressing the emergency shelter and transitional housing needs of homeless persons</w:t>
      </w:r>
    </w:p>
    <w:p>
      <w:pPr>
        <w:keepNext/>
        <w:widowControl w:val="false"/>
        <w:spacing w:beforeAutospacing="true" w:afterAutospacing="true"/>
        <w:rPr>
          <w:rFonts w:cs="Arial"/>
        </w:rPr>
      </w:pPr>
      <w:r>
        <w:rPr>
          <w:rFonts w:cs="Arial"/>
        </w:rPr>
        <w:t xml:space="preserve">The City will provide CDBG funding to support the operation of emergency shelter programs, including CDHC House of Hope. These programs provide safe shelter, case management, and supportive services to individuals experiencing homelessness.</w:t>
      </w:r>
    </w:p>
    <w:p w14:paraId="2B35530B" w14:textId="77777777">
      <w:pPr>
        <w:keepNext/>
        <w:widowControl w:val="false"/>
        <w:rPr>
          <w:b/>
          <w:sz w:val="24"/>
          <w:szCs w:val="24"/>
        </w:rPr>
      </w:pPr>
      <w:r>
        <w:rPr>
          <w:b/>
          <w:sz w:val="24"/>
          <w:szCs w:val="24"/>
        </w:rPr>
        <w:t>Helping homeless persons (especially chronically homeless individuals and families, families with children, veterans and their families, and unaccompanied youth) make the transition to permanent housing and independent living, including shortening the period of time that individuals and families experience homelessness, facilitating access for homeless individuals and families to affordable housing units, and preventing individuals and families who were recently homeless from becoming homeless again</w:t>
      </w:r>
    </w:p>
    <w:p>
      <w:pPr>
        <w:keepNext/>
        <w:widowControl w:val="false"/>
        <w:spacing w:beforeAutospacing="true" w:afterAutospacing="true"/>
        <w:rPr>
          <w:rFonts w:cs="Arial"/>
        </w:rPr>
      </w:pPr>
      <w:r>
        <w:rPr>
          <w:rFonts w:cs="Arial"/>
        </w:rPr>
        <w:t xml:space="preserve">The City supports programs that assist individuals in transitioning from homelessness to permanent housing through case management, housing placement assistance, and coordination with housing providers. These efforts are aligned with the goals of the Continuum of Care to reduce the length of time individuals experience homelessness.</w:t>
      </w:r>
    </w:p>
    <w:p w14:paraId="4AE0FA69" w14:textId="77777777">
      <w:pPr>
        <w:keepNext/>
        <w:widowControl w:val="false"/>
        <w:rPr>
          <w:b/>
          <w:sz w:val="24"/>
          <w:szCs w:val="24"/>
        </w:rPr>
      </w:pPr>
      <w:r>
        <w:rPr>
          <w:b/>
          <w:sz w:val="24"/>
          <w:szCs w:val="24"/>
        </w:rPr>
        <w:t>Helping low-income individuals and families avoid becoming homeless, especially extremely low-income individuals and families and those who are: being discharged from publicly funded institutions and systems of care (such as health care facilities, mental health facilities, foster care and other youth facilities, and corrections programs and institutions); or, receiving assistance from public or private agencies that address housing, health, social services, employment, education, or youth needs.</w:t>
      </w:r>
    </w:p>
    <w:p>
      <w:pPr>
        <w:keepNext/>
        <w:widowControl w:val="false"/>
        <w:spacing w:beforeAutospacing="true" w:afterAutospacing="true"/>
        <w:rPr>
          <w:rFonts w:cs="Arial"/>
          <w:szCs w:val="26"/>
        </w:rPr>
      </w:pPr>
      <w:r>
        <w:rPr>
          <w:rFonts w:cs="Arial"/>
        </w:rPr>
        <w:t xml:space="preserve">The City works with local and state partners to support individuals and families at risk of homelessness by providing access to housing resources, supportive services, and housing stability programs. These efforts help prevent displacement and reduce the risk of homelessness among vulnerable populations.</w:t>
      </w:r>
    </w:p>
    <w:p w14:paraId="1C255D81" w14:textId="77777777">
      <w:pPr>
        <w:keepNext/>
        <w:widowControl w:val="false"/>
        <w:spacing w:line="204" w:lineRule="auto"/>
        <w:rPr>
          <w:b/>
          <w:sz w:val="24"/>
          <w:szCs w:val="24"/>
        </w:rPr>
      </w:pPr>
      <w:r>
        <w:rPr>
          <w:b/>
          <w:sz w:val="24"/>
          <w:szCs w:val="24"/>
        </w:rPr>
        <w:t>Discussion</w:t>
      </w:r>
    </w:p>
    <w:p>
      <w:pPr>
        <w:keepNext/>
        <w:widowControl w:val="false"/>
        <w:spacing w:beforeAutospacing="true" w:afterAutospacing="true"/>
        <w:rPr>
          <w:b/>
          <w:sz w:val="24"/>
          <w:szCs w:val="24"/>
        </w:rPr>
      </w:pPr>
      <w:r>
        <w:rPr>
          <w:rFonts w:cs="Arial"/>
        </w:rPr>
        <w:t xml:space="preserve">These activities are consistent with the goals of the Consolidated Plan and reflect ongoing efforts to address identified community needs.</w:t>
      </w:r>
    </w:p>
    <w:p w14:paraId="5C1205A7" w14:textId="77777777">
      <w:pPr>
        <w:keepNext/>
        <w:widowControl w:val="false"/>
        <w:spacing w:after="0" w:line="240" w:lineRule="auto"/>
        <w:jc w:val="center"/>
        <w:rPr>
          <w:rFonts w:cs="Arial"/>
        </w:rPr>
      </w:pPr>
    </w:p>
    <w:p w14:paraId="3A6FB09C" w14:textId="77777777">
      <w:pPr>
        <w:pStyle w:val="Heading2"/>
        <w:pageBreakBefore/>
        <w:widowControl w:val="false"/>
        <w:rPr>
          <w:rFonts w:ascii="Calibri" w:hAnsi="Calibri"/>
          <w:i w:val="false"/>
        </w:rPr>
      </w:pPr>
      <w:r>
        <w:rPr>
          <w:rFonts w:ascii="Calibri" w:hAnsi="Calibri"/>
          <w:i w:val="false"/>
        </w:rPr>
        <w:t>AP-75 Barriers to affordable housing – 91.220(j)</w:t>
      </w:r>
    </w:p>
    <w:p w14:paraId="69D71B73" w14:textId="77777777">
      <w:pPr>
        <w:keepNext/>
        <w:widowControl w:val="false"/>
        <w:spacing w:line="204" w:lineRule="auto"/>
        <w:rPr>
          <w:b/>
          <w:sz w:val="24"/>
          <w:szCs w:val="24"/>
        </w:rPr>
      </w:pPr>
      <w:r>
        <w:rPr>
          <w:b/>
          <w:sz w:val="24"/>
          <w:szCs w:val="24"/>
        </w:rPr>
        <w:t xml:space="preserve">Introduction: </w:t>
      </w:r>
    </w:p>
    <w:p>
      <w:pPr>
        <w:keepNext/>
        <w:widowControl w:val="false"/>
        <w:spacing w:beforeAutospacing="true" w:afterAutospacing="true"/>
        <w:rPr>
          <w:b/>
          <w:sz w:val="24"/>
          <w:szCs w:val="24"/>
        </w:rPr>
      </w:pPr>
      <w:r>
        <w:rPr>
          <w:rFonts w:cs="Arial"/>
        </w:rPr>
        <w:t xml:space="preserve">The City of Dover recognizes that barriers to affordable housing can limit access to safe and affordable housing for low- and moderate-income residents.</w:t>
      </w:r>
    </w:p>
    <w:p w14:paraId="7B9B80B4" w14:textId="77777777">
      <w:pPr>
        <w:keepNext/>
        <w:widowControl w:val="false"/>
        <w:rPr>
          <w:b/>
          <w:sz w:val="24"/>
          <w:szCs w:val="24"/>
        </w:rPr>
      </w:pPr>
      <w:r>
        <w:rPr>
          <w:b/>
          <w:sz w:val="24"/>
          <w:szCs w:val="24"/>
        </w:rPr>
        <w:t>Actions it planned to remove or ameliorate the negative effects of public policies that serve as barriers to affordable housing such as land use controls, tax policies affecting land, zoning ordinances, building codes, fees and charges, growth limitations, and policies affecting the return on residential investment</w:t>
      </w:r>
    </w:p>
    <w:p>
      <w:pPr>
        <w:keepNext/>
        <w:widowControl w:val="false"/>
        <w:spacing w:beforeAutospacing="true" w:afterAutospacing="true"/>
        <w:rPr>
          <w:rFonts w:cs="Arial"/>
        </w:rPr>
      </w:pPr>
      <w:r>
        <w:rPr>
          <w:rFonts w:cs="Arial"/>
        </w:rPr>
        <w:t xml:space="preserve">The primary barriers to affordable housing in the City include limited housing supply, rising construction and rehabilitation costs, and increasing demand for affordable units. These factors contribute to housing affordability challenges for low- and very low-income households.</w:t>
      </w:r>
    </w:p>
    <w:p>
      <w:pPr>
        <w:keepNext/>
        <w:widowControl w:val="false"/>
        <w:spacing w:beforeAutospacing="true" w:afterAutospacing="true"/>
        <w:rPr>
          <w:rFonts w:cs="Arial"/>
        </w:rPr>
      </w:pPr>
      <w:r>
        <w:rPr>
          <w:rFonts w:cs="Arial"/>
        </w:rPr>
        <w:t xml:space="preserve">The City continues to support policies and programs that promote affordable housing, including flexible zoning, partnerships with nonprofit housing developers, and incentives to encourage the development of affordable housing. The City also supports housing rehabilitation programs to preserve existing housing stock and maintain affordability.</w:t>
      </w:r>
    </w:p>
    <w:p>
      <w:pPr>
        <w:keepNext/>
        <w:widowControl w:val="false"/>
        <w:spacing w:beforeAutospacing="true" w:afterAutospacing="true"/>
        <w:rPr>
          <w:rFonts w:cs="Arial"/>
        </w:rPr>
      </w:pPr>
      <w:r>
        <w:rPr>
          <w:rFonts w:cs="Arial"/>
        </w:rPr>
        <w:t xml:space="preserve">Through coordination with local and state partners, the City will continue to explore strategies to reduce barriers and expand access to affordable housing opportunities.</w:t>
      </w:r>
    </w:p>
    <w:p w14:paraId="40AF9F8E" w14:textId="77777777">
      <w:pPr>
        <w:keepNext/>
        <w:widowControl w:val="false"/>
        <w:spacing w:line="204" w:lineRule="auto"/>
        <w:rPr>
          <w:b/>
          <w:sz w:val="24"/>
          <w:szCs w:val="24"/>
        </w:rPr>
      </w:pPr>
      <w:r>
        <w:rPr>
          <w:b/>
          <w:sz w:val="24"/>
          <w:szCs w:val="24"/>
        </w:rPr>
        <w:t xml:space="preserve">Discussion: </w:t>
      </w:r>
    </w:p>
    <w:p>
      <w:pPr>
        <w:keepNext/>
        <w:widowControl w:val="false"/>
        <w:spacing w:beforeAutospacing="true" w:afterAutospacing="true"/>
        <w:rPr>
          <w:b/>
          <w:sz w:val="24"/>
          <w:szCs w:val="24"/>
        </w:rPr>
      </w:pPr>
      <w:r>
        <w:rPr>
          <w:rFonts w:cs="Arial"/>
        </w:rPr>
        <w:t xml:space="preserve">To help address barriers to affordable housing, the City of Dover offers a range of development and homeownership incentives designed to encourage investment and reduce the cost of housing production and purchase. These incentives include financial assistance, fee waivers, and tax abatements that support both developers and homebuyers.</w:t>
      </w:r>
    </w:p>
    <w:p>
      <w:pPr>
        <w:keepNext/>
        <w:widowControl w:val="false"/>
        <w:spacing w:beforeAutospacing="true" w:afterAutospacing="true"/>
        <w:rPr>
          <w:b/>
          <w:sz w:val="24"/>
          <w:szCs w:val="24"/>
        </w:rPr>
      </w:pPr>
      <w:r>
        <w:rPr>
          <w:rFonts w:cs="Arial"/>
        </w:rPr>
        <w:t xml:space="preserve">Available incentives include:</w:t>
      </w:r>
    </w:p>
    <w:p>
      <w:pPr>
        <w:keepNext/>
        <w:widowControl w:val="false"/>
        <w:numPr>
          <w:ilvl w:val="0"/>
          <w:numId w:val="3"/>
        </w:numPr>
        <w:spacing w:beforeAutospacing="true" w:afterAutospacing="true"/>
        <w:rPr>
          <w:b/>
          <w:sz w:val="24"/>
          <w:szCs w:val="24"/>
        </w:rPr>
      </w:pPr>
      <w:r>
        <w:rPr>
          <w:rFonts w:cs="Arial"/>
        </w:rPr>
        <w:t xml:space="preserve">Up to 20 percent cash rebate for qualifying construction projects (capped at $1,000,000 per property)</w:t>
      </w:r>
    </w:p>
    <w:p>
      <w:pPr>
        <w:keepNext/>
        <w:widowControl w:val="false"/>
        <w:numPr>
          <w:ilvl w:val="0"/>
          <w:numId w:val="3"/>
        </w:numPr>
        <w:spacing w:beforeAutospacing="true" w:afterAutospacing="true"/>
        <w:rPr>
          <w:b/>
          <w:sz w:val="24"/>
          <w:szCs w:val="24"/>
        </w:rPr>
      </w:pPr>
      <w:r>
        <w:rPr>
          <w:rFonts w:cs="Arial"/>
        </w:rPr>
        <w:t xml:space="preserve">Transfer tax rebate for the buyer’s portion upon issuance of a Certificate of Occupancy</w:t>
      </w:r>
    </w:p>
    <w:p>
      <w:pPr>
        <w:keepNext/>
        <w:widowControl w:val="false"/>
        <w:numPr>
          <w:ilvl w:val="0"/>
          <w:numId w:val="3"/>
        </w:numPr>
        <w:spacing w:beforeAutospacing="true" w:afterAutospacing="true"/>
        <w:rPr>
          <w:b/>
          <w:sz w:val="24"/>
          <w:szCs w:val="24"/>
        </w:rPr>
      </w:pPr>
      <w:r>
        <w:rPr>
          <w:rFonts w:cs="Arial"/>
        </w:rPr>
        <w:t xml:space="preserve">Waiver of building, plumbing, mechanical, and fire protection permit fees</w:t>
      </w:r>
    </w:p>
    <w:p>
      <w:pPr>
        <w:keepNext/>
        <w:widowControl w:val="false"/>
        <w:numPr>
          <w:ilvl w:val="0"/>
          <w:numId w:val="3"/>
        </w:numPr>
        <w:spacing w:beforeAutospacing="true" w:afterAutospacing="true"/>
        <w:rPr>
          <w:b/>
          <w:sz w:val="24"/>
          <w:szCs w:val="24"/>
        </w:rPr>
      </w:pPr>
      <w:r>
        <w:rPr>
          <w:rFonts w:cs="Arial"/>
        </w:rPr>
        <w:t xml:space="preserve">Waiver of City sewer and water impact fees</w:t>
      </w:r>
    </w:p>
    <w:p>
      <w:pPr>
        <w:keepNext/>
        <w:widowControl w:val="false"/>
        <w:numPr>
          <w:ilvl w:val="0"/>
          <w:numId w:val="3"/>
        </w:numPr>
        <w:spacing w:beforeAutospacing="true" w:afterAutospacing="true"/>
        <w:rPr>
          <w:b/>
          <w:sz w:val="24"/>
          <w:szCs w:val="24"/>
        </w:rPr>
      </w:pPr>
      <w:r>
        <w:rPr>
          <w:rFonts w:cs="Arial"/>
        </w:rPr>
        <w:t xml:space="preserve">10-year abatement of property taxes on the value of improvements</w:t>
      </w:r>
    </w:p>
    <w:p>
      <w:pPr>
        <w:keepNext/>
        <w:widowControl w:val="false"/>
        <w:numPr>
          <w:ilvl w:val="0"/>
          <w:numId w:val="3"/>
        </w:numPr>
        <w:spacing w:beforeAutospacing="true" w:afterAutospacing="true"/>
        <w:rPr>
          <w:b/>
          <w:sz w:val="24"/>
          <w:szCs w:val="24"/>
        </w:rPr>
      </w:pPr>
      <w:r>
        <w:rPr>
          <w:rFonts w:cs="Arial"/>
        </w:rPr>
        <w:t xml:space="preserve">Up to $20,000 in down payment assistance for the purchase of affordable housing</w:t>
      </w:r>
    </w:p>
    <w:p>
      <w:pPr>
        <w:keepNext/>
        <w:widowControl w:val="false"/>
        <w:spacing w:beforeAutospacing="true" w:afterAutospacing="true"/>
        <w:rPr>
          <w:b/>
          <w:sz w:val="24"/>
          <w:szCs w:val="24"/>
        </w:rPr>
      </w:pPr>
      <w:r>
        <w:rPr>
          <w:rFonts w:cs="Arial"/>
        </w:rPr>
        <w:t xml:space="preserve">These incentives support the development of affordable housing, reduce financial barriers for developers and homebuyers, and complement the City’s use of CDBG funds to expand housing opportunities. The City is actively working to address regulatory barriers through participation in the DSHA Zoning and Land Use Reform Pilot Program.</w:t>
      </w:r>
    </w:p>
    <w:p w14:paraId="196B29E3" w14:textId="77777777">
      <w:pPr>
        <w:pStyle w:val="Heading2"/>
        <w:pageBreakBefore/>
        <w:widowControl w:val="false"/>
        <w:rPr>
          <w:rFonts w:ascii="Calibri" w:hAnsi="Calibri"/>
          <w:i w:val="false"/>
        </w:rPr>
      </w:pPr>
      <w:r>
        <w:rPr>
          <w:rFonts w:ascii="Calibri" w:hAnsi="Calibri"/>
          <w:i w:val="false"/>
        </w:rPr>
        <w:t>AP-85 Other Actions – 91.220(k)</w:t>
      </w:r>
    </w:p>
    <w:p w14:paraId="3F32A1D0" w14:textId="77777777">
      <w:pPr>
        <w:keepNext/>
        <w:widowControl w:val="false"/>
        <w:spacing w:line="204" w:lineRule="auto"/>
        <w:rPr>
          <w:b/>
          <w:sz w:val="24"/>
          <w:szCs w:val="24"/>
        </w:rPr>
      </w:pPr>
      <w:r>
        <w:rPr>
          <w:b/>
          <w:sz w:val="24"/>
          <w:szCs w:val="24"/>
        </w:rPr>
        <w:t xml:space="preserve">Introduction: </w:t>
      </w:r>
    </w:p>
    <w:p>
      <w:pPr>
        <w:keepNext/>
        <w:widowControl w:val="false"/>
        <w:spacing w:beforeAutospacing="true" w:afterAutospacing="true"/>
        <w:rPr>
          <w:b/>
          <w:sz w:val="24"/>
          <w:szCs w:val="24"/>
        </w:rPr>
      </w:pPr>
      <w:r>
        <w:rPr>
          <w:rFonts w:cs="Arial"/>
        </w:rPr>
        <w:t xml:space="preserve">The City of Dover will continue to take actions to address the needs of low- and moderate-income residents and to support the goals of the Consolidated Plan.</w:t>
      </w:r>
    </w:p>
    <w:p w14:paraId="1F1F95FE" w14:textId="77777777">
      <w:pPr>
        <w:keepNext/>
        <w:widowControl w:val="false"/>
        <w:rPr>
          <w:b/>
          <w:sz w:val="24"/>
          <w:szCs w:val="24"/>
        </w:rPr>
      </w:pPr>
      <w:r>
        <w:rPr>
          <w:b/>
          <w:sz w:val="24"/>
          <w:szCs w:val="24"/>
        </w:rPr>
        <w:t>Actions planned to address obstacles to meeting underserved needs</w:t>
      </w:r>
    </w:p>
    <w:p>
      <w:pPr>
        <w:keepNext/>
        <w:widowControl w:val="false"/>
        <w:spacing w:beforeAutospacing="true" w:afterAutospacing="true"/>
        <w:rPr>
          <w:rFonts w:cs="Arial"/>
        </w:rPr>
      </w:pPr>
      <w:r>
        <w:rPr>
          <w:rFonts w:cs="Arial"/>
        </w:rPr>
        <w:t xml:space="preserve">The primary obstacle to meeting underserved needs is the limited availability of funding relative to the demand for housing and services. The City will continue to prioritize funding for programs that address the most critical needs and leverage partnerships to maximize available resources.</w:t>
      </w:r>
    </w:p>
    <w:p w14:paraId="7342156F" w14:textId="77777777">
      <w:pPr>
        <w:keepNext/>
        <w:widowControl w:val="false"/>
        <w:rPr>
          <w:b/>
          <w:sz w:val="24"/>
          <w:szCs w:val="24"/>
        </w:rPr>
      </w:pPr>
      <w:r>
        <w:rPr>
          <w:b/>
          <w:sz w:val="24"/>
          <w:szCs w:val="24"/>
        </w:rPr>
        <w:t>Actions planned to foster and maintain affordable housing</w:t>
      </w:r>
    </w:p>
    <w:p>
      <w:pPr>
        <w:keepNext/>
        <w:widowControl w:val="false"/>
        <w:spacing w:beforeAutospacing="true" w:afterAutospacing="true"/>
        <w:rPr>
          <w:rFonts w:cs="Arial"/>
        </w:rPr>
      </w:pPr>
      <w:r>
        <w:rPr>
          <w:rFonts w:cs="Arial"/>
        </w:rPr>
        <w:t xml:space="preserve">The City of Dover will continue to support affordable housing through a combination of financial assistance programs, strategic partnerships, and local policy initiatives. Key activities include homeownership assistance, housing rehabilitation programs, and support for the development of new affordable housing units.</w:t>
      </w:r>
    </w:p>
    <w:p>
      <w:pPr>
        <w:keepNext/>
        <w:widowControl w:val="false"/>
        <w:spacing w:beforeAutospacing="true" w:afterAutospacing="true"/>
        <w:rPr>
          <w:rFonts w:cs="Arial"/>
        </w:rPr>
      </w:pPr>
      <w:r>
        <w:rPr>
          <w:rFonts w:cs="Arial"/>
        </w:rPr>
        <w:t xml:space="preserve">In addition to direct funding, the City promotes affordable housing through local incentives, including tax abatements, fee waivers, and financial assistance programs that support both housing development and homeownership.</w:t>
      </w:r>
    </w:p>
    <w:p>
      <w:pPr>
        <w:keepNext/>
        <w:widowControl w:val="false"/>
        <w:spacing w:beforeAutospacing="true" w:afterAutospacing="true"/>
        <w:rPr>
          <w:rFonts w:cs="Arial"/>
        </w:rPr>
      </w:pPr>
      <w:r>
        <w:rPr>
          <w:rFonts w:cs="Arial"/>
        </w:rPr>
        <w:t xml:space="preserve">The City is also participating in the Delaware State Housing Authority’s Zoning and Land Use Reform Pilot Program. Through this initiative, Dover will receive technical assistance to evaluate and modernize its zoning and land use regulations to better support the development of affordable housing. The program is intended to increase the variety of housing types, encourage compact and mixed-use development, and reduce regulatory barriers that limit housing supply.</w:t>
      </w:r>
    </w:p>
    <w:p>
      <w:pPr>
        <w:keepNext/>
        <w:widowControl w:val="false"/>
        <w:spacing w:beforeAutospacing="true" w:afterAutospacing="true"/>
        <w:rPr>
          <w:rFonts w:cs="Arial"/>
        </w:rPr>
      </w:pPr>
      <w:r>
        <w:rPr>
          <w:rFonts w:cs="Arial"/>
        </w:rPr>
        <w:t xml:space="preserve">These combined efforts position the City to address both immediate housing needs and long-term affordability challenges by increasing housing opportunities and supporting sustainable community development.</w:t>
      </w:r>
    </w:p>
    <w:p w14:paraId="4CC1F5E5" w14:textId="77777777">
      <w:pPr>
        <w:keepNext/>
        <w:widowControl w:val="false"/>
        <w:rPr>
          <w:b/>
          <w:sz w:val="24"/>
          <w:szCs w:val="24"/>
        </w:rPr>
      </w:pPr>
      <w:r>
        <w:rPr>
          <w:b/>
          <w:sz w:val="24"/>
          <w:szCs w:val="24"/>
        </w:rPr>
        <w:t>Actions planned to reduce lead-based paint hazards</w:t>
      </w:r>
    </w:p>
    <w:p>
      <w:pPr>
        <w:keepNext/>
        <w:widowControl w:val="false"/>
        <w:spacing w:beforeAutospacing="true" w:afterAutospacing="true"/>
        <w:rPr>
          <w:rFonts w:cs="Arial"/>
        </w:rPr>
      </w:pPr>
      <w:r>
        <w:rPr>
          <w:rFonts w:cs="Arial"/>
        </w:rPr>
        <w:t xml:space="preserve">The City will comply with all federal requirements related to lead-based paint in housing rehabilitation activities. The City works in coordination with state agencies to ensure that lead hazards are properly identified and addressed in accordance with applicable regulations.</w:t>
      </w:r>
    </w:p>
    <w:p w14:paraId="3DF092BE" w14:textId="77777777">
      <w:pPr>
        <w:keepNext/>
        <w:widowControl w:val="false"/>
        <w:rPr>
          <w:b/>
          <w:sz w:val="24"/>
          <w:szCs w:val="24"/>
        </w:rPr>
      </w:pPr>
      <w:r>
        <w:rPr>
          <w:b/>
          <w:sz w:val="24"/>
          <w:szCs w:val="24"/>
        </w:rPr>
        <w:t>Actions planned to reduce the number of poverty-level families</w:t>
      </w:r>
    </w:p>
    <w:p>
      <w:pPr>
        <w:keepNext/>
        <w:widowControl w:val="false"/>
        <w:spacing w:beforeAutospacing="true" w:afterAutospacing="true"/>
        <w:rPr>
          <w:rFonts w:cs="Arial"/>
          <w:szCs w:val="26"/>
        </w:rPr>
      </w:pPr>
      <w:r>
        <w:rPr>
          <w:rFonts w:cs="Arial"/>
        </w:rPr>
        <w:t xml:space="preserve">The City supports programs that assist low-income households by providing access to safe and affordable housing, supportive services, and opportunities for homeownership. These efforts help improve economic stability and reduce the number of households living in poverty.</w:t>
      </w:r>
    </w:p>
    <w:p w14:paraId="4420DD74" w14:textId="77777777">
      <w:pPr>
        <w:keepNext/>
        <w:widowControl w:val="false"/>
        <w:rPr>
          <w:b/>
          <w:sz w:val="24"/>
          <w:szCs w:val="24"/>
        </w:rPr>
      </w:pPr>
      <w:r>
        <w:rPr>
          <w:b/>
          <w:sz w:val="24"/>
          <w:szCs w:val="24"/>
        </w:rPr>
        <w:t xml:space="preserve">Actions planned to develop institutional structure </w:t>
      </w:r>
    </w:p>
    <w:p>
      <w:pPr>
        <w:keepNext/>
        <w:widowControl w:val="false"/>
        <w:spacing w:beforeAutospacing="true" w:afterAutospacing="true"/>
        <w:rPr>
          <w:rFonts w:cs="Arial"/>
        </w:rPr>
      </w:pPr>
      <w:r>
        <w:rPr>
          <w:rFonts w:cs="Arial"/>
        </w:rPr>
        <w:t xml:space="preserve">The City will continue to strengthen coordination among public and private housing providers, social service agencies, and community organizations. These partnerships enhance the delivery of services and improve the effectiveness of housing and community development programs.</w:t>
      </w:r>
    </w:p>
    <w:p w14:paraId="14CF8F67" w14:textId="77777777">
      <w:pPr>
        <w:keepNext/>
        <w:widowControl w:val="false"/>
        <w:rPr>
          <w:b/>
          <w:sz w:val="24"/>
          <w:szCs w:val="24"/>
        </w:rPr>
      </w:pPr>
      <w:r>
        <w:rPr>
          <w:b/>
          <w:sz w:val="24"/>
          <w:szCs w:val="24"/>
        </w:rPr>
        <w:t>Actions planned to enhance coordination between public and private housing and social service agencies</w:t>
      </w:r>
    </w:p>
    <w:p>
      <w:pPr>
        <w:keepNext/>
        <w:widowControl w:val="false"/>
        <w:spacing w:beforeAutospacing="true" w:afterAutospacing="true"/>
        <w:rPr>
          <w:rFonts w:cs="Arial"/>
          <w:szCs w:val="26"/>
        </w:rPr>
      </w:pPr>
      <w:r>
        <w:rPr>
          <w:rFonts w:cs="Arial"/>
        </w:rPr>
        <w:t xml:space="preserve">The City will continue to collaborate with local and regional partners, including housing providers, nonprofit organizations, and state agencies, to improve coordination of housing and supportive services. These efforts help ensure that resources are used efficiently and that residents receive the services they need.</w:t>
      </w:r>
    </w:p>
    <w:p w14:paraId="685688D5" w14:textId="77777777">
      <w:pPr>
        <w:keepNext/>
        <w:widowControl w:val="false"/>
        <w:spacing w:line="204" w:lineRule="auto"/>
        <w:rPr>
          <w:b/>
          <w:sz w:val="24"/>
          <w:szCs w:val="24"/>
        </w:rPr>
      </w:pPr>
      <w:r>
        <w:rPr>
          <w:b/>
          <w:sz w:val="24"/>
          <w:szCs w:val="24"/>
        </w:rPr>
        <w:t xml:space="preserve">Discussion: </w:t>
      </w:r>
    </w:p>
    <w:p>
      <w:pPr>
        <w:keepNext/>
        <w:widowControl w:val="false"/>
        <w:spacing w:beforeAutospacing="true" w:afterAutospacing="true"/>
        <w:rPr>
          <w:b/>
          <w:sz w:val="24"/>
          <w:szCs w:val="24"/>
        </w:rPr>
      </w:pPr>
      <w:r>
        <w:rPr>
          <w:rFonts w:cs="Arial"/>
        </w:rPr>
        <w:t xml:space="preserve">These activities are consistent with the goals of the Consolidated Plan and reflect ongoing efforts to address identified community needs.</w:t>
      </w:r>
    </w:p>
    <w:p w14:paraId="6908EB52" w14:textId="77777777">
      <w:pPr>
        <w:pStyle w:val="Heading1"/>
        <w:pageBreakBefore/>
        <w:jc w:val="center"/>
        <w:rPr>
          <w:rFonts w:ascii="Calibri" w:hAnsi="Calibri"/>
          <w:color w:val="auto"/>
          <w:sz w:val="32"/>
          <w:szCs w:val="32"/>
        </w:rPr>
      </w:pPr>
      <w:r>
        <w:rPr>
          <w:rFonts w:ascii="Calibri" w:hAnsi="Calibri"/>
          <w:color w:val="auto"/>
          <w:sz w:val="32"/>
          <w:szCs w:val="32"/>
        </w:rPr>
        <w:t>Program Specific Requirements</w:t>
      </w:r>
    </w:p>
    <w:p w14:paraId="16388FAB" w14:textId="77777777">
      <w:pPr>
        <w:rPr>
          <w:b/>
          <w:sz w:val="28"/>
          <w:szCs w:val="28"/>
        </w:rPr>
      </w:pPr>
      <w:r>
        <w:rPr>
          <w:b/>
          <w:sz w:val="28"/>
          <w:szCs w:val="28"/>
        </w:rPr>
        <w:t>AP-90 Program Specific Requirements – 91.220(l)(1,2,4)</w:t>
      </w:r>
    </w:p>
    <w:p w14:paraId="12EC55A9" w14:textId="77777777">
      <w:pPr>
        <w:keepNext/>
        <w:widowControl w:val="false"/>
        <w:spacing w:line="204" w:lineRule="auto"/>
        <w:rPr>
          <w:b/>
          <w:sz w:val="24"/>
          <w:szCs w:val="24"/>
        </w:rPr>
      </w:pPr>
      <w:r>
        <w:rPr>
          <w:b/>
          <w:sz w:val="24"/>
          <w:szCs w:val="24"/>
        </w:rPr>
        <w:t xml:space="preserve">Introduction: </w:t>
      </w:r>
    </w:p>
    <w:p>
      <w:pPr>
        <w:keepNext/>
        <w:widowControl w:val="false"/>
        <w:spacing w:beforeAutospacing="true" w:afterAutospacing="true"/>
        <w:rPr>
          <w:b/>
          <w:sz w:val="24"/>
          <w:szCs w:val="24"/>
        </w:rPr>
      </w:pPr>
      <w:r>
        <w:rPr>
          <w:rFonts w:cs="Arial"/>
        </w:rPr>
        <w:t xml:space="preserve">Projects planned with all Community Development Block Grant (CDBG) funds expected to be available during the program year are identified in the Projects Table. The following information outlines program income, if any, and other CDBG-specific requirements applicable to the City of Dover.</w:t>
      </w:r>
    </w:p>
    <w:p w14:paraId="5FE71406" w14:textId="77777777">
      <w:pPr>
        <w:keepNext/>
        <w:widowControl w:val="false"/>
        <w:spacing w:after="0" w:line="240" w:lineRule="auto"/>
        <w:jc w:val="center"/>
        <w:rPr>
          <w:rFonts w:cs="Arial"/>
          <w:b/>
          <w:sz w:val="24"/>
          <w:szCs w:val="24"/>
        </w:rPr>
      </w:pPr>
      <w:r>
        <w:rPr>
          <w:rFonts w:cs="Arial"/>
          <w:b/>
          <w:sz w:val="24"/>
          <w:szCs w:val="24"/>
        </w:rPr>
        <w:t>Community Development Block Grant Program (CDBG)</w:t>
      </w:r>
      <w:r>
        <w:rPr>
          <w:i/>
        </w:rPr>
        <w:t xml:space="preserve"> </w:t>
      </w:r>
      <w:r>
        <w:rPr>
          <w:rFonts w:cs="Arial"/>
          <w:b/>
          <w:i/>
          <w:sz w:val="24"/>
          <w:szCs w:val="24"/>
        </w:rPr>
      </w:r>
    </w:p>
    <w:p w14:paraId="3EF81D58" w14:textId="77777777">
      <w:pPr>
        <w:keepNext/>
        <w:widowControl w:val="false"/>
        <w:spacing w:after="0" w:line="240" w:lineRule="auto"/>
        <w:jc w:val="center"/>
        <w:rPr>
          <w:rFonts w:cs="Arial"/>
          <w:b/>
          <w:sz w:val="24"/>
          <w:szCs w:val="24"/>
        </w:rPr>
      </w:pPr>
      <w:r>
        <w:rPr>
          <w:rFonts w:cs="Arial"/>
          <w:b/>
          <w:sz w:val="24"/>
          <w:szCs w:val="24"/>
        </w:rPr>
        <w:t>Reference 24 CFR 91.220(l)(1)</w:t>
      </w:r>
      <w:r>
        <w:rPr>
          <w:i/>
        </w:rPr>
        <w:t xml:space="preserve"> </w:t>
      </w:r>
      <w:r>
        <w:rPr>
          <w:rFonts w:cs="Arial"/>
          <w:b/>
          <w:i/>
          <w:sz w:val="24"/>
          <w:szCs w:val="24"/>
        </w:rPr>
      </w:r>
    </w:p>
    <w:p w14:paraId="4F8A99C7" w14:textId="77777777">
      <w:pPr>
        <w:keepNext/>
        <w:widowControl w:val="false"/>
        <w:spacing w:after="0" w:line="240" w:lineRule="auto"/>
        <w:rPr>
          <w:rFonts w:cs="Arial"/>
        </w:rPr>
      </w:pPr>
      <w:r>
        <w:rPr>
          <w:rFonts w:cs="Arial"/>
        </w:rPr>
        <w:t>Projects planned with all CDBG funds expected to be available during the year are identified in the Projects Table. The following identifies program income that is available for use that is included in projects to be carried out.</w:t>
      </w:r>
      <w:r>
        <w:t xml:space="preserve"> </w:t>
      </w:r>
      <w:r>
        <w:rPr>
          <w:rFonts w:cs="Arial"/>
          <w:i/>
        </w:rPr>
      </w:r>
    </w:p>
    <w:p w14:paraId="133A34D9" w14:textId="77777777">
      <w:pPr>
        <w:widowControl w:val="false"/>
        <w:spacing w:after="0" w:line="240" w:lineRule="auto"/>
        <w:rPr>
          <w:rFonts w:cs="Arial"/>
        </w:rPr>
      </w:pPr>
    </w:p>
    <w:tbl>
      <w:tblPr>
        <w:tblW w:w="5000" w:type="pct"/>
        <w:tblInd w:w="115" w:type="dxa"/>
        <w:tblLook w:firstRow="1" w:lastRow="1" w:firstColumn="1" w:lastColumn="1" w:noHBand="0" w:noVBand="0" w:val="01E0"/>
      </w:tblPr>
      <w:tblGrid>
        <w:gridCol w:w="8010"/>
        <w:gridCol w:w="1566"/>
      </w:tblGrid>
      <w:tr w14:paraId="0DE9F481" w14:textId="77777777">
        <w:tc>
          <w:tcPr>
            <w:tcW w:w="9576" w:type="dxa"/>
            <w:gridSpan w:val="2"/>
          </w:tcPr>
          <w:p w14:paraId="3B0A1C3C" w14:textId="77777777">
            <w:pPr>
              <w:keepNext/>
              <w:widowControl w:val="false"/>
              <w:spacing w:after="0" w:line="240" w:lineRule="auto"/>
              <w:rPr>
                <w:rFonts w:cs="Arial"/>
              </w:rPr>
            </w:pPr>
            <w:r>
              <w:rPr>
                <w:rFonts w:cs="Arial"/>
              </w:rPr>
            </w:r>
          </w:p>
        </w:tc>
      </w:tr>
      <w:tr>
        <w:trPr>
          <w:cantSplit w:val="true"/>
        </w:trPr>
        <w:tc>
          <w:tcPr>
            <w:vAlign w:val="center"/>
          </w:tcPr>
          <w:p>
            <w:pPr>
              <w:spacing w:beforeAutospacing="true" w:afterAutospacing="true"/>
              <w:jc w:val="left"/>
            </w:pPr>
            <w:r>
              <w:rPr>
                <w:rFonts w:ascii="Calibri" w:hAnsi="Calibri"/>
                <w:color w:val="000000"/>
                <w:sz w:val="22"/>
              </w:rPr>
              <w:t xml:space="preserve">1. The total amount of program income that will have been received before the start of the next program year and that has not yet been reprogrammed</w:t>
            </w:r>
          </w:p>
        </w:tc>
        <w:tc>
          <w:tcPr>
            <w:vAlign w:val="bottom"/>
          </w:tcPr>
          <w:p>
            <w:pPr>
              <w:spacing w:beforeAutospacing="true" w:afterAutospacing="true"/>
              <w:jc w:val="right"/>
            </w:pPr>
            <w:r>
              <w:rPr>
                <w:rFonts w:ascii="Calibri" w:hAnsi="Calibri"/>
                <w:color w:val="000000"/>
                <w:sz w:val="22"/>
              </w:rPr>
              <w:t xml:space="preserve">0</w:t>
            </w:r>
          </w:p>
        </w:tc>
      </w:tr>
      <w:tr>
        <w:trPr>
          <w:cantSplit w:val="true"/>
        </w:trPr>
        <w:tc>
          <w:tcPr>
            <w:vAlign w:val="center"/>
          </w:tcPr>
          <w:p>
            <w:pPr>
              <w:spacing w:beforeAutospacing="true" w:afterAutospacing="true"/>
              <w:jc w:val="left"/>
            </w:pPr>
            <w:r>
              <w:rPr>
                <w:rFonts w:ascii="Calibri" w:hAnsi="Calibri"/>
                <w:color w:val="000000"/>
                <w:sz w:val="22"/>
              </w:rPr>
              <w:t xml:space="preserve">2. The amount of proceeds from section 108 loan guarantees that will be used during the year to address the priority needs and specific objectives identified in the grantee's strategic plan.</w:t>
            </w:r>
          </w:p>
        </w:tc>
        <w:tc>
          <w:tcPr>
            <w:vAlign w:val="bottom"/>
          </w:tcPr>
          <w:p>
            <w:pPr>
              <w:spacing w:beforeAutospacing="true" w:afterAutospacing="true"/>
              <w:jc w:val="right"/>
            </w:pPr>
            <w:r>
              <w:rPr>
                <w:rFonts w:ascii="Calibri" w:hAnsi="Calibri"/>
                <w:color w:val="000000"/>
                <w:sz w:val="22"/>
              </w:rPr>
              <w:t xml:space="preserve">0</w:t>
            </w:r>
          </w:p>
        </w:tc>
      </w:tr>
      <w:tr>
        <w:trPr>
          <w:cantSplit w:val="true"/>
        </w:trPr>
        <w:tc>
          <w:tcPr>
            <w:vAlign w:val="center"/>
          </w:tcPr>
          <w:p>
            <w:pPr>
              <w:spacing w:beforeAutospacing="true" w:afterAutospacing="true"/>
              <w:jc w:val="left"/>
            </w:pPr>
            <w:r>
              <w:rPr>
                <w:rFonts w:ascii="Calibri" w:hAnsi="Calibri"/>
                <w:color w:val="000000"/>
                <w:sz w:val="22"/>
              </w:rPr>
              <w:t xml:space="preserve">3. The amount of surplus funds from urban renewal settlements</w:t>
            </w:r>
          </w:p>
        </w:tc>
        <w:tc>
          <w:tcPr>
            <w:vAlign w:val="bottom"/>
          </w:tcPr>
          <w:p>
            <w:pPr>
              <w:spacing w:beforeAutospacing="true" w:afterAutospacing="true"/>
              <w:jc w:val="right"/>
            </w:pPr>
            <w:r>
              <w:rPr>
                <w:rFonts w:ascii="Calibri" w:hAnsi="Calibri"/>
                <w:color w:val="000000"/>
                <w:sz w:val="22"/>
              </w:rPr>
              <w:t xml:space="preserve">0</w:t>
            </w:r>
          </w:p>
        </w:tc>
      </w:tr>
      <w:tr>
        <w:trPr>
          <w:cantSplit w:val="true"/>
        </w:trPr>
        <w:tc>
          <w:tcPr>
            <w:vAlign w:val="center"/>
          </w:tcPr>
          <w:p>
            <w:pPr>
              <w:spacing w:beforeAutospacing="true" w:afterAutospacing="true"/>
              <w:jc w:val="left"/>
            </w:pPr>
            <w:r>
              <w:rPr>
                <w:rFonts w:ascii="Calibri" w:hAnsi="Calibri"/>
                <w:color w:val="000000"/>
                <w:sz w:val="22"/>
              </w:rPr>
              <w:t xml:space="preserve">4. The amount of any grant funds returned to the line of credit for which the planned use has not been included in a prior statement or plan</w:t>
            </w:r>
          </w:p>
        </w:tc>
        <w:tc>
          <w:tcPr>
            <w:vAlign w:val="bottom"/>
          </w:tcPr>
          <w:p>
            <w:pPr>
              <w:spacing w:beforeAutospacing="true" w:afterAutospacing="true"/>
              <w:jc w:val="right"/>
            </w:pPr>
            <w:r>
              <w:rPr>
                <w:rFonts w:ascii="Calibri" w:hAnsi="Calibri"/>
                <w:color w:val="000000"/>
                <w:sz w:val="22"/>
              </w:rPr>
              <w:t xml:space="preserve">0</w:t>
            </w:r>
          </w:p>
        </w:tc>
      </w:tr>
      <w:tr>
        <w:trPr>
          <w:cantSplit w:val="true"/>
        </w:trPr>
        <w:tc>
          <w:tcPr>
            <w:vAlign w:val="center"/>
          </w:tcPr>
          <w:p>
            <w:pPr>
              <w:spacing w:beforeAutospacing="true" w:afterAutospacing="true"/>
              <w:jc w:val="left"/>
            </w:pPr>
            <w:r>
              <w:rPr>
                <w:rFonts w:ascii="Calibri" w:hAnsi="Calibri"/>
                <w:color w:val="000000"/>
                <w:sz w:val="22"/>
              </w:rPr>
              <w:t xml:space="preserve">5. The amount of income from float-funded activities</w:t>
            </w:r>
          </w:p>
        </w:tc>
        <w:tc>
          <w:tcPr>
            <w:vAlign w:val="bottom"/>
          </w:tcPr>
          <w:p>
            <w:pPr>
              <w:spacing w:beforeAutospacing="true" w:afterAutospacing="true"/>
              <w:jc w:val="right"/>
            </w:pPr>
            <w:r>
              <w:rPr>
                <w:rFonts w:ascii="Calibri" w:hAnsi="Calibri"/>
                <w:color w:val="000000"/>
                <w:sz w:val="22"/>
              </w:rPr>
              <w:t xml:space="preserve">0</w:t>
            </w:r>
          </w:p>
        </w:tc>
      </w:tr>
      <w:tr>
        <w:trPr>
          <w:cantSplit w:val="true"/>
        </w:trPr>
        <w:tc>
          <w:tcPr>
            <w:vAlign w:val="center"/>
          </w:tcPr>
          <w:p>
            <w:pPr>
              <w:spacing w:beforeAutospacing="true" w:afterAutospacing="true"/>
              <w:jc w:val="left"/>
            </w:pPr>
            <w:r>
              <w:rPr>
                <w:rFonts w:ascii="Calibri" w:hAnsi="Calibri"/>
                <w:b/>
                <w:color w:val="000000"/>
                <w:sz w:val="22"/>
              </w:rPr>
              <w:t xml:space="preserve">Total Program Income:</w:t>
            </w:r>
          </w:p>
        </w:tc>
        <w:tc>
          <w:tcPr>
            <w:vAlign w:val="center"/>
          </w:tcPr>
          <w:p>
            <w:pPr>
              <w:spacing w:beforeAutospacing="true" w:afterAutospacing="true"/>
              <w:jc w:val="right"/>
            </w:pPr>
            <w:r>
              <w:rPr>
                <w:rFonts w:ascii="Calibri" w:hAnsi="Calibri"/>
                <w:b/>
                <w:color w:val="000000"/>
                <w:sz w:val="22"/>
              </w:rPr>
              <w:t xml:space="preserve">0</w:t>
            </w:r>
          </w:p>
        </w:tc>
      </w:tr>
    </w:tbl>
    <w:p w14:paraId="4B88E626" w14:textId="77777777">
      <w:pPr>
        <w:keepNext/>
        <w:widowControl w:val="false"/>
        <w:spacing w:after="0" w:line="240" w:lineRule="auto"/>
        <w:rPr>
          <w:rFonts w:cs="Arial"/>
        </w:rPr>
      </w:pPr>
    </w:p>
    <w:p w14:paraId="5DF216A5" w14:textId="77777777">
      <w:pPr>
        <w:keepNext/>
        <w:widowControl w:val="false"/>
        <w:spacing w:after="0" w:line="240" w:lineRule="auto"/>
        <w:jc w:val="center"/>
        <w:rPr>
          <w:rFonts w:cs="Arial"/>
          <w:b/>
          <w:sz w:val="24"/>
          <w:szCs w:val="24"/>
        </w:rPr>
      </w:pPr>
      <w:r>
        <w:rPr>
          <w:rFonts w:cs="Arial"/>
          <w:b/>
          <w:sz w:val="24"/>
          <w:szCs w:val="24"/>
        </w:rPr>
        <w:t>Other CDBG Requirements</w:t>
      </w:r>
      <w:r>
        <w:rPr>
          <w:i/>
        </w:rPr>
        <w:t xml:space="preserve"> </w:t>
      </w:r>
      <w:r>
        <w:rPr>
          <w:rFonts w:cs="Arial"/>
          <w:b/>
          <w:i/>
          <w:sz w:val="24"/>
          <w:szCs w:val="24"/>
        </w:rPr>
      </w:r>
    </w:p>
    <w:tbl>
      <w:tblPr>
        <w:tblW w:w="5000" w:type="pct"/>
        <w:tblInd w:w="115" w:type="dxa"/>
        <w:tblLook w:firstRow="1" w:lastRow="1" w:firstColumn="1" w:lastColumn="1" w:noHBand="0" w:noVBand="0" w:val="01E0"/>
      </w:tblPr>
      <w:tblGrid>
        <w:gridCol w:w="7916"/>
        <w:gridCol w:w="1660"/>
      </w:tblGrid>
      <w:tr w14:paraId="75F3F4CC" w14:textId="77777777">
        <w:tc>
          <w:tcPr>
            <w:tcW w:w="9576" w:type="dxa"/>
            <w:gridSpan w:val="2"/>
          </w:tcPr>
          <w:p w14:paraId="2B5BA5CA" w14:textId="77777777">
            <w:pPr>
              <w:keepNext/>
              <w:widowControl w:val="false"/>
              <w:spacing w:after="0" w:line="240" w:lineRule="auto"/>
              <w:rPr>
                <w:rFonts w:cs="Arial"/>
              </w:rPr>
            </w:pPr>
            <w:r>
              <w:rPr>
                <w:rFonts w:cs="Arial"/>
              </w:rPr>
            </w:r>
          </w:p>
        </w:tc>
      </w:tr>
      <w:tr>
        <w:trPr>
          <w:cantSplit w:val="true"/>
        </w:trPr>
        <w:tc>
          <w:tcPr>
            <w:vAlign w:val="top"/>
          </w:tcPr>
          <w:p>
            <w:pPr>
              <w:spacing w:beforeAutospacing="true" w:afterAutospacing="true"/>
              <w:jc w:val="left"/>
            </w:pPr>
            <w:r>
              <w:rPr>
                <w:rFonts w:ascii="Calibri" w:hAnsi="Calibri"/>
                <w:color w:val="000000"/>
                <w:sz w:val="22"/>
              </w:rPr>
              <w:t xml:space="preserve">1. The amount of urgent need activities</w:t>
            </w:r>
          </w:p>
        </w:tc>
        <w:tc>
          <w:tcPr>
            <w:vAlign w:val="bottom"/>
          </w:tcPr>
          <w:p>
            <w:pPr>
              <w:spacing w:beforeAutospacing="true" w:afterAutospacing="true"/>
              <w:jc w:val="right"/>
            </w:pPr>
            <w:r>
              <w:rPr>
                <w:rFonts w:ascii="Calibri" w:hAnsi="Calibri"/>
                <w:color w:val="000000"/>
                <w:sz w:val="22"/>
              </w:rPr>
              <w:t xml:space="preserve">0</w:t>
            </w:r>
          </w:p>
        </w:tc>
      </w:tr>
    </w:tbl>
    <w:p w14:paraId="450DDF3A" w14:textId="77777777">
      <w:pPr>
        <w:widowControl w:val="false"/>
        <w:spacing w:after="0" w:line="240" w:lineRule="auto"/>
        <w:rPr>
          <w:rFonts w:cs="Arial"/>
          <w:vanish/>
          <w:sz w:val="4"/>
          <w:szCs w:val="4"/>
        </w:rPr>
      </w:pPr>
    </w:p>
    <w:tbl>
      <w:tblPr>
        <w:tblW w:w="4999" w:type="pct"/>
        <w:tblInd w:w="115" w:type="dxa"/>
        <w:tblLayout w:type="fixed"/>
        <w:tblCellMar>
          <w:left w:w="115" w:type="dxa"/>
          <w:right w:w="115" w:type="dxa"/>
        </w:tblCellMar>
        <w:tblLook w:firstRow="1" w:lastRow="1" w:firstColumn="1" w:lastColumn="1" w:noHBand="0" w:noVBand="0" w:val="01E0"/>
      </w:tblPr>
      <w:tblGrid>
        <w:gridCol w:w="7923"/>
        <w:gridCol w:w="1665"/>
      </w:tblGrid>
      <w:tr w14:paraId="3E92CCF8" w14:textId="77777777">
        <w:tc>
          <w:tcPr>
            <w:tcW w:w="7923" w:type="dxa"/>
          </w:tcPr>
          <w:p w14:paraId="40398644" w14:textId="77777777">
            <w:pPr>
              <w:keepNext/>
              <w:widowControl w:val="false"/>
              <w:spacing w:after="0" w:line="240" w:lineRule="auto"/>
              <w:rPr>
                <w:rFonts w:cs="Arial"/>
              </w:rPr>
            </w:pPr>
            <w:r>
              <w:rPr>
                <w:rFonts w:cs="Arial"/>
              </w:rPr>
            </w:r>
          </w:p>
        </w:tc>
        <w:tc>
          <w:tcPr>
            <w:tcW w:w="1665" w:type="dxa"/>
          </w:tcPr>
          <w:p w14:paraId="79E0C281" w14:textId="77777777">
            <w:pPr>
              <w:keepNext/>
              <w:widowControl w:val="false"/>
              <w:spacing w:after="0" w:line="240" w:lineRule="auto"/>
              <w:rPr>
                <w:rFonts w:cs="Arial"/>
              </w:rPr>
            </w:pPr>
          </w:p>
        </w:tc>
      </w:tr>
      <w:tr>
        <w:trPr>
          <w:cantSplit w:val="true"/>
        </w:trPr>
        <w:tc>
          <w:tcPr>
            <w:vAlign w:val="top"/>
          </w:tcPr>
          <w:p>
            <w:pPr>
              <w:spacing w:beforeAutospacing="true" w:afterAutospacing="true"/>
              <w:jc w:val="left"/>
            </w:pPr>
            <w:r>
              <w:rPr>
                <w:rFonts w:ascii="Calibri" w:hAnsi="Calibri"/>
                <w:color w:val="000000"/>
                <w:sz w:val="22"/>
              </w:rPr>
              <w:t xml:space="preserve">2. The estimated percentage of CDBG funds that will be used for activities that benefit persons of low and moderate income.Overall Benefit - A consecutive period of one, two or three years may be used to determine that a minimum overall benefit of 70% of CDBG funds is used to benefit persons of low and moderate income. Specify the years covered that include this Annual Action Plan.</w:t>
            </w:r>
          </w:p>
        </w:tc>
        <w:tc>
          <w:tcPr>
            <w:vAlign w:val="bottom"/>
          </w:tcPr>
          <w:p>
            <w:pPr>
              <w:spacing w:beforeAutospacing="true" w:afterAutospacing="true"/>
              <w:jc w:val="right"/>
            </w:pPr>
            <w:r>
              <w:rPr>
                <w:rFonts w:ascii="Calibri" w:hAnsi="Calibri"/>
                <w:color w:val="000000"/>
                <w:sz w:val="22"/>
              </w:rPr>
              <w:t xml:space="preserve">100.00%</w:t>
            </w:r>
          </w:p>
        </w:tc>
      </w:tr>
    </w:tbl>
    <w:p w14:paraId="582FE469" w14:textId="77777777">
      <w:pPr>
        <w:spacing w:after="0" w:line="240" w:lineRule="auto"/>
        <w:rPr>
          <w:rFonts w:cs="Arial"/>
        </w:rPr>
      </w:pPr>
    </w:p>
    <w:p w14:paraId="405A645D" w14:textId="77777777">
      <w:pPr>
        <w:spacing w:after="0" w:line="240" w:lineRule="auto"/>
        <w:rPr>
          <w:rFonts w:cs="Arial"/>
        </w:rPr>
      </w:pPr>
    </w:p>
    <w:p w14:paraId="66C923EB" w14:textId="77777777">
      <w:pPr>
        <w:spacing w:after="0" w:line="240" w:lineRule="auto"/>
        <w:rPr>
          <w:rFonts w:cs="Arial"/>
        </w:rPr>
      </w:pPr>
    </w:p>
    <w:p w14:paraId="26378952" w14:textId="77777777">
      <w:pPr>
        <w:keepNext/>
        <w:widowControl w:val="false"/>
        <w:spacing w:after="0" w:line="240" w:lineRule="auto"/>
        <w:ind w:left="360"/>
        <w:rPr>
          <w:rFonts w:cs="Arial"/>
        </w:rPr>
      </w:pPr>
      <w:r>
        <w:rPr>
          <w:rFonts w:cs="Arial"/>
        </w:rPr>
      </w:r>
    </w:p>
    <w:p w14:paraId="3B9BD659" w14:textId="77777777">
      <w:pPr>
        <w:spacing w:after="0" w:line="240" w:lineRule="auto"/>
        <w:rPr>
          <w:rFonts w:cs="Arial"/>
        </w:rPr>
      </w:pPr>
    </w:p>
    <w:p w14:paraId="57FF22F6" w14:textId="77777777">
      <w:pPr>
        <w:keepNext/>
        <w:widowControl w:val="false"/>
        <w:spacing w:after="0" w:line="240" w:lineRule="auto"/>
        <w:ind w:left="360"/>
        <w:rPr>
          <w:rFonts w:cs="Arial"/>
        </w:rPr>
      </w:pPr>
      <w:r>
        <w:rPr>
          <w:rFonts w:cs="Arial"/>
        </w:rPr>
      </w:r>
    </w:p>
    <w:p w14:paraId="71ED1D44" w14:textId="77777777">
      <w:pPr>
        <w:spacing w:after="0" w:line="240" w:lineRule="auto"/>
        <w:rPr>
          <w:rFonts w:cs="Arial"/>
        </w:rPr>
      </w:pPr>
    </w:p>
    <w:p w14:paraId="087EC8F6" w14:textId="77777777">
      <w:pPr>
        <w:keepNext/>
        <w:widowControl w:val="false"/>
        <w:spacing w:after="0" w:line="240" w:lineRule="auto"/>
        <w:ind w:left="360"/>
        <w:rPr>
          <w:rFonts w:cs="Arial"/>
        </w:rPr>
      </w:pPr>
      <w:r>
        <w:rPr>
          <w:rFonts w:cs="Arial"/>
        </w:rPr>
      </w:r>
    </w:p>
    <w:p w14:paraId="02F04A28" w14:textId="77777777">
      <w:pPr>
        <w:spacing w:after="0" w:line="240" w:lineRule="auto"/>
        <w:rPr>
          <w:rFonts w:cs="Arial"/>
        </w:rPr>
      </w:pPr>
    </w:p>
    <w:p w14:paraId="211A3337" w14:textId="43FDF060">
      <w:pPr>
        <w:keepNext/>
        <w:widowControl w:val="false"/>
        <w:spacing w:after="0" w:line="240" w:lineRule="auto"/>
        <w:ind w:left="360"/>
        <w:rPr>
          <w:rFonts w:cs="Arial"/>
        </w:rPr>
      </w:pPr>
      <w:r>
        <w:rPr>
          <w:rFonts w:cs="Arial"/>
        </w:rPr>
      </w:r>
    </w:p>
    <w:p w14:paraId="7FFB5A6E" w14:textId="77777777">
      <w:pPr>
        <w:keepNext/>
        <w:widowControl w:val="false"/>
        <w:spacing w:after="0" w:line="240" w:lineRule="auto"/>
        <w:ind w:left="360"/>
        <w:rPr>
          <w:rFonts w:cs="Arial"/>
        </w:rPr>
      </w:pPr>
    </w:p>
    <w:p w14:paraId="0858D008" w14:textId="77777777">
      <w:pPr>
        <w:keepNext/>
        <w:widowControl w:val="false"/>
        <w:spacing w:after="0" w:line="240" w:lineRule="auto"/>
        <w:ind w:left="360"/>
        <w:rPr>
          <w:rFonts w:cs="Arial"/>
        </w:rPr>
      </w:pPr>
      <w:r>
        <w:rPr>
          <w:rFonts w:cs="Arial"/>
        </w:rPr>
      </w:r>
    </w:p>
    <w:p w14:paraId="523169A5" w14:textId="77777777">
      <w:pPr>
        <w:spacing w:after="0" w:line="240" w:lineRule="auto"/>
        <w:ind w:left="360"/>
        <w:rPr>
          <w:rFonts w:cs="Arial"/>
        </w:rPr>
      </w:pPr>
    </w:p>
    <w:p w14:paraId="656C8868" w14:textId="77777777">
      <w:pPr>
        <w:keepNext/>
        <w:widowControl w:val="false"/>
        <w:spacing w:after="0" w:line="240" w:lineRule="auto"/>
        <w:ind w:left="360"/>
        <w:rPr>
          <w:rFonts w:cs="Arial"/>
        </w:rPr>
      </w:pPr>
      <w:r>
        <w:rPr>
          <w:rFonts w:cs="Arial"/>
        </w:rPr>
      </w:r>
    </w:p>
    <w:p w14:paraId="0FB9D90C" w14:textId="77777777">
      <w:pPr>
        <w:spacing w:after="0" w:line="240" w:lineRule="auto"/>
        <w:ind w:left="360"/>
        <w:rPr>
          <w:rFonts w:cs="Arial"/>
        </w:rPr>
      </w:pPr>
    </w:p>
    <w:p w14:paraId="0CCA17A4" w14:textId="77777777">
      <w:pPr>
        <w:keepNext/>
        <w:widowControl w:val="false"/>
        <w:spacing w:after="0" w:line="240" w:lineRule="auto"/>
        <w:ind w:left="360"/>
        <w:rPr>
          <w:rFonts w:cs="Arial"/>
        </w:rPr>
      </w:pPr>
      <w:r>
        <w:rPr>
          <w:rFonts w:cs="Arial"/>
        </w:rPr>
      </w:r>
    </w:p>
    <w:p w14:paraId="25727934" w14:textId="77777777">
      <w:pPr>
        <w:spacing w:after="0" w:line="240" w:lineRule="auto"/>
        <w:ind w:left="360"/>
        <w:rPr>
          <w:rFonts w:cs="Arial"/>
        </w:rPr>
      </w:pPr>
    </w:p>
    <w:p w14:paraId="4FEDA744" w14:textId="77777777">
      <w:pPr>
        <w:keepNext/>
        <w:widowControl w:val="false"/>
        <w:spacing w:after="0" w:line="240" w:lineRule="auto"/>
        <w:jc w:val="center"/>
        <w:rPr>
          <w:rFonts w:cs="Arial"/>
          <w:b/>
          <w:sz w:val="24"/>
          <w:szCs w:val="24"/>
        </w:rPr>
      </w:pPr>
    </w:p>
    <w:p w14:paraId="30A25BD8" w14:textId="77777777">
      <w:pPr>
        <w:keepNext/>
        <w:widowControl w:val="false"/>
        <w:ind w:left="360"/>
        <w:rPr>
          <w:rFonts w:cs="Arial"/>
        </w:rPr>
      </w:pPr>
      <w:r>
        <w:rPr>
          <w:rFonts w:cs="Arial"/>
        </w:rPr>
      </w:r>
    </w:p>
    <w:p w14:paraId="2284331D" w14:textId="77777777">
      <w:pPr>
        <w:widowControl w:val="false"/>
        <w:ind w:left="360"/>
        <w:rPr>
          <w:rFonts w:cs="Arial"/>
        </w:rPr>
      </w:pPr>
      <w:r>
        <w:rPr>
          <w:rFonts w:cs="Arial"/>
        </w:rPr>
      </w:r>
    </w:p>
    <w:p w14:paraId="3CEBF88D" w14:textId="77777777">
      <w:pPr>
        <w:widowControl w:val="false"/>
        <w:ind w:left="360"/>
        <w:rPr>
          <w:rFonts w:cs="Arial"/>
        </w:rPr>
      </w:pPr>
      <w:r>
        <w:rPr>
          <w:rFonts w:cs="Arial"/>
        </w:rPr>
      </w:r>
    </w:p>
    <w:p w14:paraId="11DC82F5" w14:textId="77777777">
      <w:pPr>
        <w:widowControl w:val="false"/>
        <w:ind w:left="360"/>
        <w:rPr>
          <w:rFonts w:cs="Arial"/>
        </w:rPr>
      </w:pPr>
      <w:r>
        <w:rPr>
          <w:rFonts w:cs="Arial"/>
        </w:rPr>
      </w:r>
    </w:p>
    <w:p w14:paraId="2388C1BC" w14:textId="77777777">
      <w:pPr>
        <w:widowControl w:val="false"/>
        <w:ind w:left="360"/>
        <w:rPr>
          <w:rFonts w:cs="Arial"/>
        </w:rPr>
      </w:pPr>
      <w:r>
        <w:rPr>
          <w:rFonts w:cs="Arial"/>
        </w:rPr>
      </w:r>
    </w:p>
    <w:p w14:paraId="68F6A733" w14:textId="77777777"/>
    <w:p w14:paraId="59793940" w14:textId="77777777">
      <w:pPr>
        <w:contextualSpacing/>
        <w:rPr>
          <w:b/>
          <w:color w:val="000000" w:themeColor="text1"/>
          <w:sz w:val="24"/>
          <w:szCs w:val="24"/>
        </w:rPr>
      </w:pPr>
    </w:p>
    <w:p>
      <w:pPr>
        <w:spacing w:beforeAutospacing="true" w:afterAutospacing="true"/>
        <w:rPr>
          <w:rFonts w:cs="Arial"/>
        </w:rPr>
      </w:pPr>
      <w:r>
        <w:rPr>
          <w:rFonts w:cs="Arial"/>
        </w:rPr>
        <w:t xml:space="preserve">The City of Dover will ensure that at least 70 percent of CDBG funds are used for activities that benefit low- and moderate-income persons over a one-, two-, or three-year period, in accordance with HUD requirements. For the current program year, it is anticipated that approximately 100 percent of CDBG funds, excluding administration and planning activities, will benefit low- and moderate-income persons.</w:t>
      </w:r>
    </w:p>
    <w:p w14:paraId="56191D1F" w14:textId="77777777">
      <w:pPr>
        <w:spacing w:after="0" w:line="240" w:lineRule="auto"/>
      </w:pPr>
      <w:r>
        <w:br w:type="page"/>
      </w:r>
    </w:p>
    <w:p w14:paraId="1C7F17C3" w14:textId="77777777">
      <w:pPr>
        <w:rPr>
          <w:b/>
          <w:sz w:val="28"/>
          <w:szCs w:val="28"/>
        </w:rPr>
      </w:pPr>
      <w:r>
        <w:rPr>
          <w:b/>
          <w:sz w:val="28"/>
          <w:szCs w:val="28"/>
        </w:rPr>
        <w:t>Attachments</w:t>
      </w:r>
    </w:p>
    <w:p w14:paraId="52BF6416" w14:textId="77777777">
      <w:r>
        <w:br w:type="page"/>
      </w:r>
    </w:p>
    <w:p>
      <w:r>
        <w:rPr>
          <w:b/>
        </w:rPr>
        <w:t>Citizen Participation Comments</w:t>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8"/>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7"/>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6"/>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5"/>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4"/>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3"/>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2"/>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1"/>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50"/>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9"/>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8"/>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7"/>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6"/>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5"/>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4"/>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3"/>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2"/>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1"/>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40"/>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9"/>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8"/>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7"/>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6"/>
                    <a:stretch>
                      <a:fillRect/>
                    </a:stretch>
                  </pic:blipFill>
                  <pic:spPr>
                    <a:xfrm>
                      <a:off x="0" y="0"/>
                      <a:ext cx="5943600" cy="7691718"/>
                    </a:xfrm>
                    <a:prstGeom prst="rect">
                      <a:avLst/>
                    </a:prstGeom>
                  </pic:spPr>
                </pic:pic>
              </a:graphicData>
            </a:graphic>
          </wp:inline>
        </w:drawing>
      </w:r>
    </w:p>
    <w:p>
      <w:r>
        <w:br w:type="page"/>
      </w:r>
    </w:p>
    <w:p>
      <w:r>
        <w:rPr>
          <w:b/>
        </w:rPr>
        <w:t>Grantee Unique Appendices</w:t>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5"/>
                    <a:stretch>
                      <a:fillRect/>
                    </a:stretch>
                  </pic:blipFill>
                  <pic:spPr>
                    <a:xfrm>
                      <a:off x="0" y="0"/>
                      <a:ext cx="5943600" cy="7691718"/>
                    </a:xfrm>
                    <a:prstGeom prst="rect">
                      <a:avLst/>
                    </a:prstGeom>
                  </pic:spPr>
                </pic:pic>
              </a:graphicData>
            </a:graphic>
          </wp:inline>
        </w:drawing>
      </w:r>
    </w:p>
    <w:p>
      <w:r>
        <w:br w:type="page"/>
      </w:r>
    </w:p>
    <w:p>
      <w:r>
        <w:rPr>
          <w:b/>
        </w:rPr>
        <w:t>Grantee SF-424's and Certification(s)</w:t>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4"/>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3"/>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2"/>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1"/>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30"/>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9"/>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8"/>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7"/>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6"/>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5"/>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4"/>
                    <a:stretch>
                      <a:fillRect/>
                    </a:stretch>
                  </pic:blipFill>
                  <pic:spPr>
                    <a:xfrm>
                      <a:off x="0" y="0"/>
                      <a:ext cx="5943600" cy="7691718"/>
                    </a:xfrm>
                    <a:prstGeom prst="rect">
                      <a:avLst/>
                    </a:prstGeom>
                  </pic:spPr>
                </pic:pic>
              </a:graphicData>
            </a:graphic>
          </wp:inline>
        </w:drawing>
      </w:r>
    </w:p>
    <w:p>
      <w:r>
        <w:drawing>
          <wp:inline distT="0" distB="0" distL="0" distR="0">
            <wp:extent cx="5943600" cy="7691718"/>
            <wp:effectExtent l="0" t="0" r="0" b="0"/>
            <wp:docPr id="0" name="Hint" descr="Alt text"/>
            <wp:cNvGraphicFramePr>
              <a:graphicFrameLocks noChangeAspect="true"/>
            </wp:cNvGraphicFramePr>
            <a:graphic>
              <a:graphicData uri="http://schemas.openxmlformats.org/drawingml/2006/picture">
                <pic:pic>
                  <pic:nvPicPr>
                    <pic:cNvPr id="1" name="Hint"/>
                    <pic:cNvPicPr/>
                  </pic:nvPicPr>
                  <pic:blipFill>
                    <a:blip r:embed="rId23"/>
                    <a:stretch>
                      <a:fillRect/>
                    </a:stretch>
                  </pic:blipFill>
                  <pic:spPr>
                    <a:xfrm>
                      <a:off x="0" y="0"/>
                      <a:ext cx="5943600" cy="7691718"/>
                    </a:xfrm>
                    <a:prstGeom prst="rect">
                      <a:avLst/>
                    </a:prstGeom>
                  </pic:spPr>
                </pic:pic>
              </a:graphicData>
            </a:graphic>
          </wp:inline>
        </w:drawing>
      </w:r>
    </w:p>
    <w:p w14:paraId="39B82E7D" w14:textId="77777777"/>
    <w:sectPr>
      <w:headerReference w:type="even" r:id="rId15"/>
      <w:headerReference w:type="default" r:id="rId16"/>
      <w:footerReference w:type="even" r:id="rId17"/>
      <w:headerReference w:type="firs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endnote w:type="separator" w:id="-1">
    <w:p w14:paraId="30EF49AD" w14:textId="77777777">
      <w:r>
        <w:separator/>
      </w:r>
    </w:p>
  </w:endnote>
  <w:endnote w:type="continuationSeparator" w:id="0">
    <w:p w14:paraId="4632876D" w14:textId="77777777">
      <w:r>
        <w:continuationSeparator/>
      </w:r>
    </w:p>
  </w:endnote>
</w:endnotes>
</file>

<file path=word/fontTable.xml><?xml version="1.0" encoding="utf-8"?>
<w:font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6830C706" w14:textId="77777777">
    <w:pPr>
      <w:pStyle w:val="Footer"/>
    </w:pPr>
  </w:p>
</w:ftr>
</file>

<file path=word/footer2.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tbl>
    <w:tblPr>
      <w:tblW w:w="0" w:type="auto"/>
      <w:jc w:val="center"/>
      <w:tblLayout w:type="fixed"/>
      <w:tblLook w:firstRow="1" w:lastRow="1" w:firstColumn="1" w:lastColumn="1" w:noHBand="0" w:noVBand="0" w:val="01E0"/>
    </w:tblPr>
    <w:tblGrid>
      <w:gridCol w:w="828"/>
      <w:gridCol w:w="7976"/>
      <w:gridCol w:w="772"/>
    </w:tblGrid>
    <w:tr w14:paraId="308D0DE8" w14:textId="77777777">
      <w:trPr>
        <w:jc w:val="center"/>
      </w:trPr>
      <w:tc>
        <w:tcPr>
          <w:tcW w:w="828" w:type="dxa"/>
        </w:tcPr>
        <w:p w14:paraId="47F0E061" w14:textId="77777777">
          <w:pPr>
            <w:pStyle w:val="Footer"/>
            <w:spacing w:after="0" w:line="240" w:lineRule="auto"/>
            <w:jc w:val="center"/>
          </w:pPr>
        </w:p>
      </w:tc>
      <w:tc>
        <w:tcPr>
          <w:tcW w:w="7976" w:type="dxa"/>
        </w:tcPr>
        <w:p w14:paraId="7EDCC41F" w14:textId="77777777">
          <w:pPr>
            <w:pStyle w:val="Footer"/>
            <w:spacing w:after="0" w:line="240" w:lineRule="auto"/>
            <w:jc w:val="center"/>
          </w:pPr>
          <w:r>
            <w:t>Annual Action Plan</w:t>
          </w:r>
        </w:p>
        <w:p w14:paraId="765CE620" w14:textId="77777777">
          <w:pPr>
            <w:pStyle w:val="Footer"/>
            <w:spacing w:after="0" w:line="240" w:lineRule="auto"/>
            <w:jc w:val="center"/>
            <w:rPr>
              <w:rFonts w:cs="Arial"/>
            </w:rPr>
          </w:pPr>
          <w:r>
            <w:t>2026</w:t>
          </w:r>
        </w:p>
      </w:tc>
      <w:tc>
        <w:tcPr>
          <w:tcW w:w="772" w:type="dxa"/>
        </w:tcPr>
        <w:p w14:paraId="64F5460B" w14:textId="22806AFF">
          <w:pPr>
            <w:pStyle w:val="Footer"/>
            <w:spacing w:after="0" w:line="240" w:lineRule="auto"/>
            <w:jc w:val="right"/>
          </w:pPr>
          <w:r>
            <w:fldChar w:fldCharType="begin"/>
            <w:instrText>page</w:instrText>
            <w:fldChar w:fldCharType="separate"/>
            <w:t>1</w:t>
            <w:fldChar w:fldCharType="end"/>
          </w:r>
        </w:p>
      </w:tc>
    </w:tr>
  </w:tbl>
  <w:p w14:paraId="2E5B4510" w14:textId="77777777">
    <w:pPr>
      <w:pStyle w:val="Footer"/>
      <w:spacing w:before="120" w:after="0"/>
      <w:rPr>
        <w:rFonts w:asciiTheme="minorHAnsi" w:hAnsiTheme="minorHAnsi"/>
        <w:b/>
        <w:i/>
        <w:sz w:val="16"/>
      </w:rPr>
    </w:pPr>
    <w:r>
      <w:rPr>
        <w:rFonts w:cs="Arial" w:asciiTheme="minorHAnsi" w:hAnsiTheme="minorHAnsi"/>
        <w:color w:val="000000"/>
        <w:sz w:val="16"/>
      </w:rPr>
      <w:t>OMB Control No: 2506-0117 (exp. 09/30/2021)</w:t>
    </w:r>
  </w:p>
</w:ftr>
</file>

<file path=word/footer3.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56E92827" w14:textId="77777777">
    <w:pPr>
      <w:pStyle w:val="Footer"/>
    </w:pPr>
  </w:p>
</w:ftr>
</file>

<file path=word/footer4.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tbl>
    <w:tblPr>
      <w:tblW w:w="0" w:type="auto"/>
      <w:jc w:val="center"/>
      <w:tblLayout w:type="fixed"/>
      <w:tblLook w:firstRow="1" w:lastRow="1" w:firstColumn="1" w:lastColumn="1" w:noHBand="0" w:noVBand="0" w:val="01E0"/>
    </w:tblPr>
    <w:tblGrid>
      <w:gridCol w:w="828"/>
      <w:gridCol w:w="7976"/>
      <w:gridCol w:w="772"/>
    </w:tblGrid>
    <w:tr w14:paraId="18B383D3" w14:textId="77777777">
      <w:trPr>
        <w:jc w:val="center"/>
      </w:trPr>
      <w:tc>
        <w:tcPr>
          <w:tcW w:w="828" w:type="dxa"/>
        </w:tcPr>
        <w:p w14:paraId="10D95DFD" w14:textId="77777777">
          <w:pPr>
            <w:pStyle w:val="Footer"/>
            <w:spacing w:after="0" w:line="240" w:lineRule="auto"/>
            <w:jc w:val="center"/>
          </w:pPr>
        </w:p>
      </w:tc>
      <w:tc>
        <w:tcPr>
          <w:tcW w:w="7976" w:type="dxa"/>
        </w:tcPr>
        <w:p w14:paraId="7DF767CF" w14:textId="77777777">
          <w:pPr>
            <w:pStyle w:val="Footer"/>
            <w:spacing w:after="0" w:line="240" w:lineRule="auto"/>
            <w:jc w:val="center"/>
          </w:pPr>
          <w:r>
            <w:t>Annual Action Plan</w:t>
          </w:r>
        </w:p>
        <w:p w14:paraId="17566A2F" w14:textId="77777777">
          <w:pPr>
            <w:pStyle w:val="Footer"/>
            <w:spacing w:after="0" w:line="240" w:lineRule="auto"/>
            <w:jc w:val="center"/>
            <w:rPr>
              <w:rFonts w:cs="Arial"/>
            </w:rPr>
          </w:pPr>
          <w:r>
            <w:t>2026</w:t>
          </w:r>
        </w:p>
      </w:tc>
      <w:tc>
        <w:tcPr>
          <w:tcW w:w="772" w:type="dxa"/>
        </w:tcPr>
        <w:p w14:paraId="69345BD2" w14:textId="176CE947">
          <w:pPr>
            <w:pStyle w:val="Footer"/>
            <w:spacing w:after="0" w:line="240" w:lineRule="auto"/>
            <w:jc w:val="right"/>
          </w:pPr>
          <w:r>
            <w:fldChar w:fldCharType="begin"/>
            <w:instrText>page</w:instrText>
            <w:fldChar w:fldCharType="separate"/>
            <w:t>21</w:t>
            <w:fldChar w:fldCharType="end"/>
          </w:r>
        </w:p>
      </w:tc>
    </w:tr>
  </w:tbl>
  <w:p w14:paraId="39D4E4C8" w14:textId="77777777">
    <w:pPr>
      <w:pStyle w:val="Footer"/>
      <w:spacing w:before="120" w:after="0"/>
      <w:rPr>
        <w:rFonts w:asciiTheme="minorHAnsi" w:hAnsiTheme="minorHAnsi"/>
        <w:b/>
        <w:i/>
        <w:sz w:val="16"/>
      </w:rPr>
    </w:pPr>
    <w:r>
      <w:rPr>
        <w:rFonts w:cs="Arial" w:asciiTheme="minorHAnsi" w:hAnsiTheme="minorHAnsi"/>
        <w:color w:val="000000"/>
        <w:sz w:val="16"/>
      </w:rPr>
      <w:t>OMB Control No: 2506-0117 (exp. 09/30/2021)</w:t>
    </w:r>
  </w:p>
</w:ftr>
</file>

<file path=word/footer5.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0204A8BC" w14:textId="77777777">
    <w:pPr>
      <w:pStyle w:val="Footer"/>
    </w:pPr>
  </w:p>
</w:ftr>
</file>

<file path=word/footer6.xml><?xml version="1.0" encoding="utf-8"?>
<w:ft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769424AB" w14:textId="77777777">
    <w:pPr>
      <w:pStyle w:val="Footer"/>
    </w:pPr>
  </w:p>
</w:ftr>
</file>

<file path=word/footnotes.xml><?xml version="1.0" encoding="utf-8"?>
<w:footnot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footnote w:type="separator" w:id="-1">
    <w:p w14:paraId="7B5A9C16" w14:textId="77777777">
      <w:r>
        <w:separator/>
      </w:r>
    </w:p>
  </w:footnote>
  <w:footnote w:type="continuationSeparator" w:id="0">
    <w:p w14:paraId="7F113967" w14:textId="77777777">
      <w:r>
        <w:continuationSeparator/>
      </w:r>
    </w:p>
  </w:footnote>
</w:footnotes>
</file>

<file path=word/header1.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6A7BA349" w14:textId="77777777">
    <w:pPr>
      <w:pStyle w:val="Header"/>
    </w:pPr>
  </w:p>
</w:hdr>
</file>

<file path=word/header2.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7B474B07" w14:textId="77777777">
    <w:pPr>
      <w:pStyle w:val="Header"/>
    </w:pPr>
  </w:p>
</w:hdr>
</file>

<file path=word/header3.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75B52790" w14:textId="77777777">
    <w:pPr>
      <w:pStyle w:val="Header"/>
    </w:pPr>
  </w:p>
</w:hdr>
</file>

<file path=word/header4.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40122C85" w14:textId="77777777">
    <w:pPr>
      <w:pStyle w:val="Header"/>
    </w:pPr>
  </w:p>
</w:hdr>
</file>

<file path=word/header5.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62A80A77" w14:textId="77777777">
    <w:pPr>
      <w:pStyle w:val="Header"/>
    </w:pPr>
  </w:p>
</w:hdr>
</file>

<file path=word/header6.xml><?xml version="1.0" encoding="utf-8"?>
<w:hdr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14:paraId="69E6F06B" w14:textId="77777777">
    <w:pPr>
      <w:pStyle w:val="Header"/>
    </w:pP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FFFFFF7C"/>
    <w:multiLevelType w:val="singleLevel"/>
    <w:tmpl w:val="73108E9C"/>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A3848782"/>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111CDC50"/>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6CECF734"/>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A8B8103C"/>
    <w:lvl w:ilvl="0">
      <w:start w:val="1"/>
      <w:numFmt w:val="bullet"/>
      <w:lvlText w:val=""/>
      <w:lvlJc w:val="left"/>
      <w:pPr>
        <w:tabs>
          <w:tab w:val="num" w:pos="1800"/>
        </w:tabs>
        <w:ind w:left="1800" w:hanging="360"/>
      </w:pPr>
      <w:rPr>
        <w:rFonts w:hint="default" w:ascii="Symbol" w:hAnsi="Symbol"/>
      </w:rPr>
    </w:lvl>
  </w:abstractNum>
  <w:abstractNum w:abstractNumId="5">
    <w:nsid w:val="FFFFFF81"/>
    <w:multiLevelType w:val="singleLevel"/>
    <w:tmpl w:val="3FECD4C4"/>
    <w:lvl w:ilvl="0">
      <w:start w:val="1"/>
      <w:numFmt w:val="bullet"/>
      <w:lvlText w:val=""/>
      <w:lvlJc w:val="left"/>
      <w:pPr>
        <w:tabs>
          <w:tab w:val="num" w:pos="1440"/>
        </w:tabs>
        <w:ind w:left="1440" w:hanging="360"/>
      </w:pPr>
      <w:rPr>
        <w:rFonts w:hint="default" w:ascii="Symbol" w:hAnsi="Symbol"/>
      </w:rPr>
    </w:lvl>
  </w:abstractNum>
  <w:abstractNum w:abstractNumId="6">
    <w:nsid w:val="FFFFFF82"/>
    <w:multiLevelType w:val="singleLevel"/>
    <w:tmpl w:val="106E986A"/>
    <w:lvl w:ilvl="0">
      <w:start w:val="1"/>
      <w:numFmt w:val="bullet"/>
      <w:lvlText w:val=""/>
      <w:lvlJc w:val="left"/>
      <w:pPr>
        <w:tabs>
          <w:tab w:val="num" w:pos="1080"/>
        </w:tabs>
        <w:ind w:left="1080" w:hanging="360"/>
      </w:pPr>
      <w:rPr>
        <w:rFonts w:hint="default" w:ascii="Symbol" w:hAnsi="Symbol"/>
      </w:rPr>
    </w:lvl>
  </w:abstractNum>
  <w:abstractNum w:abstractNumId="7">
    <w:nsid w:val="FFFFFF83"/>
    <w:multiLevelType w:val="singleLevel"/>
    <w:tmpl w:val="8ACAE8C4"/>
    <w:lvl w:ilvl="0">
      <w:start w:val="1"/>
      <w:numFmt w:val="bullet"/>
      <w:lvlText w:val=""/>
      <w:lvlJc w:val="left"/>
      <w:pPr>
        <w:tabs>
          <w:tab w:val="num" w:pos="720"/>
        </w:tabs>
        <w:ind w:left="720" w:hanging="360"/>
      </w:pPr>
      <w:rPr>
        <w:rFonts w:hint="default" w:ascii="Symbol" w:hAnsi="Symbol"/>
      </w:rPr>
    </w:lvl>
  </w:abstractNum>
  <w:abstractNum w:abstractNumId="8">
    <w:nsid w:val="FFFFFF88"/>
    <w:multiLevelType w:val="singleLevel"/>
    <w:tmpl w:val="13EC821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7F0FC44"/>
    <w:lvl w:ilvl="0">
      <w:start w:val="1"/>
      <w:numFmt w:val="bullet"/>
      <w:lvlText w:val=""/>
      <w:lvlJc w:val="left"/>
      <w:pPr>
        <w:tabs>
          <w:tab w:val="num" w:pos="360"/>
        </w:tabs>
        <w:ind w:left="360" w:hanging="360"/>
      </w:pPr>
      <w:rPr>
        <w:rFonts w:hint="default" w:ascii="Symbol" w:hAnsi="Symbol"/>
      </w:rPr>
    </w:lvl>
  </w:abstractNum>
  <w:abstractNum w:abstractNumId="10">
    <w:nsid w:val="042A6DC6"/>
    <w:multiLevelType w:val="hybridMultilevel"/>
    <w:tmpl w:val="203CEBDC"/>
    <w:lvl w:ilvl="0" w:tplc="04090013">
      <w:start w:val="1"/>
      <w:numFmt w:val="upperRoman"/>
      <w:lvlText w:val="%1."/>
      <w:lvlJc w:val="right"/>
      <w:pPr>
        <w:tabs>
          <w:tab w:val="num" w:pos="720"/>
        </w:tabs>
        <w:ind w:left="720" w:hanging="180"/>
      </w:pPr>
      <w:rPr>
        <w:rFonts w:cs="Times New Roman"/>
      </w:rPr>
    </w:lvl>
    <w:lvl w:ilvl="1" w:tplc="04090019" w:tentative="true">
      <w:start w:val="1"/>
      <w:numFmt w:val="lowerLetter"/>
      <w:lvlText w:val="%2."/>
      <w:lvlJc w:val="left"/>
      <w:pPr>
        <w:tabs>
          <w:tab w:val="num" w:pos="1440"/>
        </w:tabs>
        <w:ind w:left="1440" w:hanging="360"/>
      </w:pPr>
      <w:rPr>
        <w:rFonts w:cs="Times New Roman"/>
      </w:rPr>
    </w:lvl>
    <w:lvl w:ilvl="2" w:tplc="0409001B" w:tentative="true">
      <w:start w:val="1"/>
      <w:numFmt w:val="lowerRoman"/>
      <w:lvlText w:val="%3."/>
      <w:lvlJc w:val="right"/>
      <w:pPr>
        <w:tabs>
          <w:tab w:val="num" w:pos="2160"/>
        </w:tabs>
        <w:ind w:left="2160" w:hanging="180"/>
      </w:pPr>
      <w:rPr>
        <w:rFonts w:cs="Times New Roman"/>
      </w:rPr>
    </w:lvl>
    <w:lvl w:ilvl="3" w:tplc="0409000F" w:tentative="true">
      <w:start w:val="1"/>
      <w:numFmt w:val="decimal"/>
      <w:lvlText w:val="%4."/>
      <w:lvlJc w:val="left"/>
      <w:pPr>
        <w:tabs>
          <w:tab w:val="num" w:pos="2880"/>
        </w:tabs>
        <w:ind w:left="2880" w:hanging="360"/>
      </w:pPr>
      <w:rPr>
        <w:rFonts w:cs="Times New Roman"/>
      </w:rPr>
    </w:lvl>
    <w:lvl w:ilvl="4" w:tplc="04090019" w:tentative="true">
      <w:start w:val="1"/>
      <w:numFmt w:val="lowerLetter"/>
      <w:lvlText w:val="%5."/>
      <w:lvlJc w:val="left"/>
      <w:pPr>
        <w:tabs>
          <w:tab w:val="num" w:pos="3600"/>
        </w:tabs>
        <w:ind w:left="3600" w:hanging="360"/>
      </w:pPr>
      <w:rPr>
        <w:rFonts w:cs="Times New Roman"/>
      </w:rPr>
    </w:lvl>
    <w:lvl w:ilvl="5" w:tplc="0409001B" w:tentative="true">
      <w:start w:val="1"/>
      <w:numFmt w:val="lowerRoman"/>
      <w:lvlText w:val="%6."/>
      <w:lvlJc w:val="right"/>
      <w:pPr>
        <w:tabs>
          <w:tab w:val="num" w:pos="4320"/>
        </w:tabs>
        <w:ind w:left="4320" w:hanging="180"/>
      </w:pPr>
      <w:rPr>
        <w:rFonts w:cs="Times New Roman"/>
      </w:rPr>
    </w:lvl>
    <w:lvl w:ilvl="6" w:tplc="0409000F" w:tentative="true">
      <w:start w:val="1"/>
      <w:numFmt w:val="decimal"/>
      <w:lvlText w:val="%7."/>
      <w:lvlJc w:val="left"/>
      <w:pPr>
        <w:tabs>
          <w:tab w:val="num" w:pos="5040"/>
        </w:tabs>
        <w:ind w:left="5040" w:hanging="360"/>
      </w:pPr>
      <w:rPr>
        <w:rFonts w:cs="Times New Roman"/>
      </w:rPr>
    </w:lvl>
    <w:lvl w:ilvl="7" w:tplc="04090019" w:tentative="true">
      <w:start w:val="1"/>
      <w:numFmt w:val="lowerLetter"/>
      <w:lvlText w:val="%8."/>
      <w:lvlJc w:val="left"/>
      <w:pPr>
        <w:tabs>
          <w:tab w:val="num" w:pos="5760"/>
        </w:tabs>
        <w:ind w:left="5760" w:hanging="360"/>
      </w:pPr>
      <w:rPr>
        <w:rFonts w:cs="Times New Roman"/>
      </w:rPr>
    </w:lvl>
    <w:lvl w:ilvl="8" w:tplc="0409001B" w:tentative="true">
      <w:start w:val="1"/>
      <w:numFmt w:val="lowerRoman"/>
      <w:lvlText w:val="%9."/>
      <w:lvlJc w:val="right"/>
      <w:pPr>
        <w:tabs>
          <w:tab w:val="num" w:pos="6480"/>
        </w:tabs>
        <w:ind w:left="6480" w:hanging="180"/>
      </w:pPr>
      <w:rPr>
        <w:rFonts w:cs="Times New Roman"/>
      </w:rPr>
    </w:lvl>
  </w:abstractNum>
  <w:abstractNum w:abstractNumId="11">
    <w:nsid w:val="045B42A3"/>
    <w:multiLevelType w:val="hybridMultilevel"/>
    <w:tmpl w:val="FA82EE94"/>
    <w:lvl w:ilvl="0" w:tplc="04090013">
      <w:start w:val="1"/>
      <w:numFmt w:val="upperRoman"/>
      <w:lvlText w:val="%1."/>
      <w:lvlJc w:val="right"/>
      <w:pPr>
        <w:ind w:left="720" w:hanging="360"/>
      </w:pPr>
      <w:rPr>
        <w:rFonts w:cs="Times New Roman"/>
      </w:rPr>
    </w:lvl>
    <w:lvl w:ilvl="1" w:tplc="04090019" w:tentative="true">
      <w:start w:val="1"/>
      <w:numFmt w:val="lowerLetter"/>
      <w:lvlText w:val="%2."/>
      <w:lvlJc w:val="left"/>
      <w:pPr>
        <w:ind w:left="1440" w:hanging="360"/>
      </w:pPr>
      <w:rPr>
        <w:rFonts w:cs="Times New Roman"/>
      </w:rPr>
    </w:lvl>
    <w:lvl w:ilvl="2" w:tplc="0409001B" w:tentative="true">
      <w:start w:val="1"/>
      <w:numFmt w:val="lowerRoman"/>
      <w:lvlText w:val="%3."/>
      <w:lvlJc w:val="right"/>
      <w:pPr>
        <w:ind w:left="2160" w:hanging="180"/>
      </w:pPr>
      <w:rPr>
        <w:rFonts w:cs="Times New Roman"/>
      </w:rPr>
    </w:lvl>
    <w:lvl w:ilvl="3" w:tplc="0409000F" w:tentative="true">
      <w:start w:val="1"/>
      <w:numFmt w:val="decimal"/>
      <w:lvlText w:val="%4."/>
      <w:lvlJc w:val="left"/>
      <w:pPr>
        <w:ind w:left="2880" w:hanging="360"/>
      </w:pPr>
      <w:rPr>
        <w:rFonts w:cs="Times New Roman"/>
      </w:rPr>
    </w:lvl>
    <w:lvl w:ilvl="4" w:tplc="04090019" w:tentative="true">
      <w:start w:val="1"/>
      <w:numFmt w:val="lowerLetter"/>
      <w:lvlText w:val="%5."/>
      <w:lvlJc w:val="left"/>
      <w:pPr>
        <w:ind w:left="3600" w:hanging="360"/>
      </w:pPr>
      <w:rPr>
        <w:rFonts w:cs="Times New Roman"/>
      </w:rPr>
    </w:lvl>
    <w:lvl w:ilvl="5" w:tplc="0409001B" w:tentative="true">
      <w:start w:val="1"/>
      <w:numFmt w:val="lowerRoman"/>
      <w:lvlText w:val="%6."/>
      <w:lvlJc w:val="right"/>
      <w:pPr>
        <w:ind w:left="4320" w:hanging="180"/>
      </w:pPr>
      <w:rPr>
        <w:rFonts w:cs="Times New Roman"/>
      </w:rPr>
    </w:lvl>
    <w:lvl w:ilvl="6" w:tplc="0409000F" w:tentative="true">
      <w:start w:val="1"/>
      <w:numFmt w:val="decimal"/>
      <w:lvlText w:val="%7."/>
      <w:lvlJc w:val="left"/>
      <w:pPr>
        <w:ind w:left="5040" w:hanging="360"/>
      </w:pPr>
      <w:rPr>
        <w:rFonts w:cs="Times New Roman"/>
      </w:rPr>
    </w:lvl>
    <w:lvl w:ilvl="7" w:tplc="04090019" w:tentative="true">
      <w:start w:val="1"/>
      <w:numFmt w:val="lowerLetter"/>
      <w:lvlText w:val="%8."/>
      <w:lvlJc w:val="left"/>
      <w:pPr>
        <w:ind w:left="5760" w:hanging="360"/>
      </w:pPr>
      <w:rPr>
        <w:rFonts w:cs="Times New Roman"/>
      </w:rPr>
    </w:lvl>
    <w:lvl w:ilvl="8" w:tplc="0409001B" w:tentative="true">
      <w:start w:val="1"/>
      <w:numFmt w:val="lowerRoman"/>
      <w:lvlText w:val="%9."/>
      <w:lvlJc w:val="right"/>
      <w:pPr>
        <w:ind w:left="6480" w:hanging="180"/>
      </w:pPr>
      <w:rPr>
        <w:rFonts w:cs="Times New Roman"/>
      </w:rPr>
    </w:lvl>
  </w:abstractNum>
  <w:abstractNum w:abstractNumId="12">
    <w:nsid w:val="13CB0CE3"/>
    <w:multiLevelType w:val="hybridMultilevel"/>
    <w:tmpl w:val="A09AC69E"/>
    <w:lvl w:ilvl="0" w:tplc="696A65CC">
      <w:start w:val="1"/>
      <w:numFmt w:val="decimal"/>
      <w:lvlText w:val="%1."/>
      <w:lvlJc w:val="left"/>
      <w:pPr>
        <w:ind w:left="360" w:hanging="360"/>
      </w:pPr>
      <w:rPr>
        <w:rFonts w:hint="default" w:cs="Arial"/>
      </w:rPr>
    </w:lvl>
    <w:lvl w:ilvl="1" w:tplc="04090019" w:tentative="true">
      <w:start w:val="1"/>
      <w:numFmt w:val="lowerLetter"/>
      <w:lvlText w:val="%2."/>
      <w:lvlJc w:val="left"/>
      <w:pPr>
        <w:ind w:left="1080" w:hanging="360"/>
      </w:pPr>
    </w:lvl>
    <w:lvl w:ilvl="2" w:tplc="0409001B" w:tentative="true">
      <w:start w:val="1"/>
      <w:numFmt w:val="lowerRoman"/>
      <w:lvlText w:val="%3."/>
      <w:lvlJc w:val="right"/>
      <w:pPr>
        <w:ind w:left="1800" w:hanging="180"/>
      </w:pPr>
    </w:lvl>
    <w:lvl w:ilvl="3" w:tplc="0409000F" w:tentative="true">
      <w:start w:val="1"/>
      <w:numFmt w:val="decimal"/>
      <w:lvlText w:val="%4."/>
      <w:lvlJc w:val="left"/>
      <w:pPr>
        <w:ind w:left="2520" w:hanging="360"/>
      </w:pPr>
    </w:lvl>
    <w:lvl w:ilvl="4" w:tplc="04090019" w:tentative="true">
      <w:start w:val="1"/>
      <w:numFmt w:val="lowerLetter"/>
      <w:lvlText w:val="%5."/>
      <w:lvlJc w:val="left"/>
      <w:pPr>
        <w:ind w:left="3240" w:hanging="360"/>
      </w:pPr>
    </w:lvl>
    <w:lvl w:ilvl="5" w:tplc="0409001B" w:tentative="true">
      <w:start w:val="1"/>
      <w:numFmt w:val="lowerRoman"/>
      <w:lvlText w:val="%6."/>
      <w:lvlJc w:val="right"/>
      <w:pPr>
        <w:ind w:left="3960" w:hanging="180"/>
      </w:pPr>
    </w:lvl>
    <w:lvl w:ilvl="6" w:tplc="0409000F" w:tentative="true">
      <w:start w:val="1"/>
      <w:numFmt w:val="decimal"/>
      <w:lvlText w:val="%7."/>
      <w:lvlJc w:val="left"/>
      <w:pPr>
        <w:ind w:left="4680" w:hanging="360"/>
      </w:pPr>
    </w:lvl>
    <w:lvl w:ilvl="7" w:tplc="04090019" w:tentative="true">
      <w:start w:val="1"/>
      <w:numFmt w:val="lowerLetter"/>
      <w:lvlText w:val="%8."/>
      <w:lvlJc w:val="left"/>
      <w:pPr>
        <w:ind w:left="5400" w:hanging="360"/>
      </w:pPr>
    </w:lvl>
    <w:lvl w:ilvl="8" w:tplc="0409001B" w:tentative="true">
      <w:start w:val="1"/>
      <w:numFmt w:val="lowerRoman"/>
      <w:lvlText w:val="%9."/>
      <w:lvlJc w:val="right"/>
      <w:pPr>
        <w:ind w:left="6120" w:hanging="180"/>
      </w:pPr>
    </w:lvl>
  </w:abstractNum>
  <w:abstractNum w:abstractNumId="13">
    <w:nsid w:val="414528EA"/>
    <w:multiLevelType w:val="hybridMultilevel"/>
    <w:tmpl w:val="1AE41AAE"/>
    <w:lvl w:ilvl="0" w:tplc="0409000F">
      <w:start w:val="1"/>
      <w:numFmt w:val="decimal"/>
      <w:lvlText w:val="%1."/>
      <w:lvlJc w:val="left"/>
      <w:pPr>
        <w:ind w:left="360" w:hanging="360"/>
      </w:pPr>
    </w:lvl>
    <w:lvl w:ilvl="1" w:tplc="04090019" w:tentative="true">
      <w:start w:val="1"/>
      <w:numFmt w:val="lowerLetter"/>
      <w:lvlText w:val="%2."/>
      <w:lvlJc w:val="left"/>
      <w:pPr>
        <w:ind w:left="1080" w:hanging="360"/>
      </w:pPr>
    </w:lvl>
    <w:lvl w:ilvl="2" w:tplc="0409001B" w:tentative="true">
      <w:start w:val="1"/>
      <w:numFmt w:val="lowerRoman"/>
      <w:lvlText w:val="%3."/>
      <w:lvlJc w:val="right"/>
      <w:pPr>
        <w:ind w:left="1800" w:hanging="180"/>
      </w:pPr>
    </w:lvl>
    <w:lvl w:ilvl="3" w:tplc="0409000F" w:tentative="true">
      <w:start w:val="1"/>
      <w:numFmt w:val="decimal"/>
      <w:lvlText w:val="%4."/>
      <w:lvlJc w:val="left"/>
      <w:pPr>
        <w:ind w:left="2520" w:hanging="360"/>
      </w:pPr>
    </w:lvl>
    <w:lvl w:ilvl="4" w:tplc="04090019" w:tentative="true">
      <w:start w:val="1"/>
      <w:numFmt w:val="lowerLetter"/>
      <w:lvlText w:val="%5."/>
      <w:lvlJc w:val="left"/>
      <w:pPr>
        <w:ind w:left="3240" w:hanging="360"/>
      </w:pPr>
    </w:lvl>
    <w:lvl w:ilvl="5" w:tplc="0409001B" w:tentative="true">
      <w:start w:val="1"/>
      <w:numFmt w:val="lowerRoman"/>
      <w:lvlText w:val="%6."/>
      <w:lvlJc w:val="right"/>
      <w:pPr>
        <w:ind w:left="3960" w:hanging="180"/>
      </w:pPr>
    </w:lvl>
    <w:lvl w:ilvl="6" w:tplc="0409000F" w:tentative="true">
      <w:start w:val="1"/>
      <w:numFmt w:val="decimal"/>
      <w:lvlText w:val="%7."/>
      <w:lvlJc w:val="left"/>
      <w:pPr>
        <w:ind w:left="4680" w:hanging="360"/>
      </w:pPr>
    </w:lvl>
    <w:lvl w:ilvl="7" w:tplc="04090019" w:tentative="true">
      <w:start w:val="1"/>
      <w:numFmt w:val="lowerLetter"/>
      <w:lvlText w:val="%8."/>
      <w:lvlJc w:val="left"/>
      <w:pPr>
        <w:ind w:left="5400" w:hanging="360"/>
      </w:pPr>
    </w:lvl>
    <w:lvl w:ilvl="8" w:tplc="0409001B" w:tentative="true">
      <w:start w:val="1"/>
      <w:numFmt w:val="lowerRoman"/>
      <w:lvlText w:val="%9."/>
      <w:lvlJc w:val="right"/>
      <w:pPr>
        <w:ind w:left="6120" w:hanging="180"/>
      </w:pPr>
    </w:lvl>
  </w:abstractNum>
  <w:abstractNum w:abstractNumId="14">
    <w:nsid w:val="519A3E8F"/>
    <w:multiLevelType w:val="hybridMultilevel"/>
    <w:tmpl w:val="77020142"/>
    <w:lvl w:ilvl="0" w:tplc="0409000F">
      <w:start w:val="1"/>
      <w:numFmt w:val="decimal"/>
      <w:lvlText w:val="%1."/>
      <w:lvlJc w:val="left"/>
      <w:pPr>
        <w:tabs>
          <w:tab w:val="num" w:pos="360"/>
        </w:tabs>
        <w:ind w:left="360" w:hanging="360"/>
      </w:pPr>
      <w:rPr>
        <w:rFonts w:cs="Times New Roman"/>
      </w:rPr>
    </w:lvl>
    <w:lvl w:ilvl="1" w:tplc="04090019" w:tentative="true">
      <w:start w:val="1"/>
      <w:numFmt w:val="lowerLetter"/>
      <w:lvlText w:val="%2."/>
      <w:lvlJc w:val="left"/>
      <w:pPr>
        <w:tabs>
          <w:tab w:val="num" w:pos="1080"/>
        </w:tabs>
        <w:ind w:left="1080" w:hanging="360"/>
      </w:pPr>
      <w:rPr>
        <w:rFonts w:cs="Times New Roman"/>
      </w:rPr>
    </w:lvl>
    <w:lvl w:ilvl="2" w:tplc="0409001B" w:tentative="true">
      <w:start w:val="1"/>
      <w:numFmt w:val="lowerRoman"/>
      <w:lvlText w:val="%3."/>
      <w:lvlJc w:val="right"/>
      <w:pPr>
        <w:tabs>
          <w:tab w:val="num" w:pos="1800"/>
        </w:tabs>
        <w:ind w:left="1800" w:hanging="180"/>
      </w:pPr>
      <w:rPr>
        <w:rFonts w:cs="Times New Roman"/>
      </w:rPr>
    </w:lvl>
    <w:lvl w:ilvl="3" w:tplc="0409000F" w:tentative="true">
      <w:start w:val="1"/>
      <w:numFmt w:val="decimal"/>
      <w:lvlText w:val="%4."/>
      <w:lvlJc w:val="left"/>
      <w:pPr>
        <w:tabs>
          <w:tab w:val="num" w:pos="2520"/>
        </w:tabs>
        <w:ind w:left="2520" w:hanging="360"/>
      </w:pPr>
      <w:rPr>
        <w:rFonts w:cs="Times New Roman"/>
      </w:rPr>
    </w:lvl>
    <w:lvl w:ilvl="4" w:tplc="04090019" w:tentative="true">
      <w:start w:val="1"/>
      <w:numFmt w:val="lowerLetter"/>
      <w:lvlText w:val="%5."/>
      <w:lvlJc w:val="left"/>
      <w:pPr>
        <w:tabs>
          <w:tab w:val="num" w:pos="3240"/>
        </w:tabs>
        <w:ind w:left="3240" w:hanging="360"/>
      </w:pPr>
      <w:rPr>
        <w:rFonts w:cs="Times New Roman"/>
      </w:rPr>
    </w:lvl>
    <w:lvl w:ilvl="5" w:tplc="0409001B" w:tentative="true">
      <w:start w:val="1"/>
      <w:numFmt w:val="lowerRoman"/>
      <w:lvlText w:val="%6."/>
      <w:lvlJc w:val="right"/>
      <w:pPr>
        <w:tabs>
          <w:tab w:val="num" w:pos="3960"/>
        </w:tabs>
        <w:ind w:left="3960" w:hanging="180"/>
      </w:pPr>
      <w:rPr>
        <w:rFonts w:cs="Times New Roman"/>
      </w:rPr>
    </w:lvl>
    <w:lvl w:ilvl="6" w:tplc="0409000F" w:tentative="true">
      <w:start w:val="1"/>
      <w:numFmt w:val="decimal"/>
      <w:lvlText w:val="%7."/>
      <w:lvlJc w:val="left"/>
      <w:pPr>
        <w:tabs>
          <w:tab w:val="num" w:pos="4680"/>
        </w:tabs>
        <w:ind w:left="4680" w:hanging="360"/>
      </w:pPr>
      <w:rPr>
        <w:rFonts w:cs="Times New Roman"/>
      </w:rPr>
    </w:lvl>
    <w:lvl w:ilvl="7" w:tplc="04090019" w:tentative="true">
      <w:start w:val="1"/>
      <w:numFmt w:val="lowerLetter"/>
      <w:lvlText w:val="%8."/>
      <w:lvlJc w:val="left"/>
      <w:pPr>
        <w:tabs>
          <w:tab w:val="num" w:pos="5400"/>
        </w:tabs>
        <w:ind w:left="5400" w:hanging="360"/>
      </w:pPr>
      <w:rPr>
        <w:rFonts w:cs="Times New Roman"/>
      </w:rPr>
    </w:lvl>
    <w:lvl w:ilvl="8" w:tplc="0409001B" w:tentative="true">
      <w:start w:val="1"/>
      <w:numFmt w:val="lowerRoman"/>
      <w:lvlText w:val="%9."/>
      <w:lvlJc w:val="right"/>
      <w:pPr>
        <w:tabs>
          <w:tab w:val="num" w:pos="6120"/>
        </w:tabs>
        <w:ind w:left="6120" w:hanging="180"/>
      </w:pPr>
      <w:rPr>
        <w:rFonts w:cs="Times New Roman"/>
      </w:rPr>
    </w:lvl>
  </w:abstractNum>
  <w:abstractNum w:abstractNumId="15">
    <w:nsid w:val="58CE2ACE"/>
    <w:multiLevelType w:val="hybridMultilevel"/>
    <w:tmpl w:val="D780CAE8"/>
    <w:lvl w:ilvl="0" w:tplc="0409000F">
      <w:start w:val="1"/>
      <w:numFmt w:val="decimal"/>
      <w:lvlText w:val="%1."/>
      <w:lvlJc w:val="left"/>
      <w:pPr>
        <w:tabs>
          <w:tab w:val="num" w:pos="360"/>
        </w:tabs>
        <w:ind w:left="360" w:hanging="360"/>
      </w:pPr>
      <w:rPr>
        <w:rFonts w:cs="Times New Roman"/>
      </w:rPr>
    </w:lvl>
    <w:lvl w:ilvl="1" w:tplc="04090019" w:tentative="true">
      <w:start w:val="1"/>
      <w:numFmt w:val="lowerLetter"/>
      <w:lvlText w:val="%2."/>
      <w:lvlJc w:val="left"/>
      <w:pPr>
        <w:tabs>
          <w:tab w:val="num" w:pos="1080"/>
        </w:tabs>
        <w:ind w:left="1080" w:hanging="360"/>
      </w:pPr>
      <w:rPr>
        <w:rFonts w:cs="Times New Roman"/>
      </w:rPr>
    </w:lvl>
    <w:lvl w:ilvl="2" w:tplc="0409001B" w:tentative="true">
      <w:start w:val="1"/>
      <w:numFmt w:val="lowerRoman"/>
      <w:lvlText w:val="%3."/>
      <w:lvlJc w:val="right"/>
      <w:pPr>
        <w:tabs>
          <w:tab w:val="num" w:pos="1800"/>
        </w:tabs>
        <w:ind w:left="1800" w:hanging="180"/>
      </w:pPr>
      <w:rPr>
        <w:rFonts w:cs="Times New Roman"/>
      </w:rPr>
    </w:lvl>
    <w:lvl w:ilvl="3" w:tplc="0409000F" w:tentative="true">
      <w:start w:val="1"/>
      <w:numFmt w:val="decimal"/>
      <w:lvlText w:val="%4."/>
      <w:lvlJc w:val="left"/>
      <w:pPr>
        <w:tabs>
          <w:tab w:val="num" w:pos="2520"/>
        </w:tabs>
        <w:ind w:left="2520" w:hanging="360"/>
      </w:pPr>
      <w:rPr>
        <w:rFonts w:cs="Times New Roman"/>
      </w:rPr>
    </w:lvl>
    <w:lvl w:ilvl="4" w:tplc="04090019" w:tentative="true">
      <w:start w:val="1"/>
      <w:numFmt w:val="lowerLetter"/>
      <w:lvlText w:val="%5."/>
      <w:lvlJc w:val="left"/>
      <w:pPr>
        <w:tabs>
          <w:tab w:val="num" w:pos="3240"/>
        </w:tabs>
        <w:ind w:left="3240" w:hanging="360"/>
      </w:pPr>
      <w:rPr>
        <w:rFonts w:cs="Times New Roman"/>
      </w:rPr>
    </w:lvl>
    <w:lvl w:ilvl="5" w:tplc="0409001B" w:tentative="true">
      <w:start w:val="1"/>
      <w:numFmt w:val="lowerRoman"/>
      <w:lvlText w:val="%6."/>
      <w:lvlJc w:val="right"/>
      <w:pPr>
        <w:tabs>
          <w:tab w:val="num" w:pos="3960"/>
        </w:tabs>
        <w:ind w:left="3960" w:hanging="180"/>
      </w:pPr>
      <w:rPr>
        <w:rFonts w:cs="Times New Roman"/>
      </w:rPr>
    </w:lvl>
    <w:lvl w:ilvl="6" w:tplc="0409000F" w:tentative="true">
      <w:start w:val="1"/>
      <w:numFmt w:val="decimal"/>
      <w:lvlText w:val="%7."/>
      <w:lvlJc w:val="left"/>
      <w:pPr>
        <w:tabs>
          <w:tab w:val="num" w:pos="4680"/>
        </w:tabs>
        <w:ind w:left="4680" w:hanging="360"/>
      </w:pPr>
      <w:rPr>
        <w:rFonts w:cs="Times New Roman"/>
      </w:rPr>
    </w:lvl>
    <w:lvl w:ilvl="7" w:tplc="04090019" w:tentative="true">
      <w:start w:val="1"/>
      <w:numFmt w:val="lowerLetter"/>
      <w:lvlText w:val="%8."/>
      <w:lvlJc w:val="left"/>
      <w:pPr>
        <w:tabs>
          <w:tab w:val="num" w:pos="5400"/>
        </w:tabs>
        <w:ind w:left="5400" w:hanging="360"/>
      </w:pPr>
      <w:rPr>
        <w:rFonts w:cs="Times New Roman"/>
      </w:rPr>
    </w:lvl>
    <w:lvl w:ilvl="8" w:tplc="0409001B" w:tentative="true">
      <w:start w:val="1"/>
      <w:numFmt w:val="lowerRoman"/>
      <w:lvlText w:val="%9."/>
      <w:lvlJc w:val="right"/>
      <w:pPr>
        <w:tabs>
          <w:tab w:val="num" w:pos="6120"/>
        </w:tabs>
        <w:ind w:left="6120" w:hanging="180"/>
      </w:pPr>
      <w:rPr>
        <w:rFonts w:cs="Times New Roman"/>
      </w:rPr>
    </w:lvl>
  </w:abstractNum>
  <w:abstractNum w:abstractNumId="16">
    <w:nsid w:val="6D5C4484"/>
    <w:multiLevelType w:val="hybridMultilevel"/>
    <w:tmpl w:val="65061610"/>
    <w:lvl w:ilvl="0" w:tplc="0409000F">
      <w:start w:val="1"/>
      <w:numFmt w:val="decimal"/>
      <w:lvlText w:val="%1."/>
      <w:lvlJc w:val="left"/>
      <w:pPr>
        <w:tabs>
          <w:tab w:val="num" w:pos="360"/>
        </w:tabs>
        <w:ind w:left="360" w:hanging="360"/>
      </w:pPr>
      <w:rPr>
        <w:rFonts w:cs="Times New Roman"/>
      </w:rPr>
    </w:lvl>
    <w:lvl w:ilvl="1" w:tplc="04090019" w:tentative="true">
      <w:start w:val="1"/>
      <w:numFmt w:val="lowerLetter"/>
      <w:lvlText w:val="%2."/>
      <w:lvlJc w:val="left"/>
      <w:pPr>
        <w:tabs>
          <w:tab w:val="num" w:pos="1080"/>
        </w:tabs>
        <w:ind w:left="1080" w:hanging="360"/>
      </w:pPr>
      <w:rPr>
        <w:rFonts w:cs="Times New Roman"/>
      </w:rPr>
    </w:lvl>
    <w:lvl w:ilvl="2" w:tplc="0409001B" w:tentative="true">
      <w:start w:val="1"/>
      <w:numFmt w:val="lowerRoman"/>
      <w:lvlText w:val="%3."/>
      <w:lvlJc w:val="right"/>
      <w:pPr>
        <w:tabs>
          <w:tab w:val="num" w:pos="1800"/>
        </w:tabs>
        <w:ind w:left="1800" w:hanging="180"/>
      </w:pPr>
      <w:rPr>
        <w:rFonts w:cs="Times New Roman"/>
      </w:rPr>
    </w:lvl>
    <w:lvl w:ilvl="3" w:tplc="0409000F" w:tentative="true">
      <w:start w:val="1"/>
      <w:numFmt w:val="decimal"/>
      <w:lvlText w:val="%4."/>
      <w:lvlJc w:val="left"/>
      <w:pPr>
        <w:tabs>
          <w:tab w:val="num" w:pos="2520"/>
        </w:tabs>
        <w:ind w:left="2520" w:hanging="360"/>
      </w:pPr>
      <w:rPr>
        <w:rFonts w:cs="Times New Roman"/>
      </w:rPr>
    </w:lvl>
    <w:lvl w:ilvl="4" w:tplc="04090019" w:tentative="true">
      <w:start w:val="1"/>
      <w:numFmt w:val="lowerLetter"/>
      <w:lvlText w:val="%5."/>
      <w:lvlJc w:val="left"/>
      <w:pPr>
        <w:tabs>
          <w:tab w:val="num" w:pos="3240"/>
        </w:tabs>
        <w:ind w:left="3240" w:hanging="360"/>
      </w:pPr>
      <w:rPr>
        <w:rFonts w:cs="Times New Roman"/>
      </w:rPr>
    </w:lvl>
    <w:lvl w:ilvl="5" w:tplc="0409001B" w:tentative="true">
      <w:start w:val="1"/>
      <w:numFmt w:val="lowerRoman"/>
      <w:lvlText w:val="%6."/>
      <w:lvlJc w:val="right"/>
      <w:pPr>
        <w:tabs>
          <w:tab w:val="num" w:pos="3960"/>
        </w:tabs>
        <w:ind w:left="3960" w:hanging="180"/>
      </w:pPr>
      <w:rPr>
        <w:rFonts w:cs="Times New Roman"/>
      </w:rPr>
    </w:lvl>
    <w:lvl w:ilvl="6" w:tplc="0409000F" w:tentative="true">
      <w:start w:val="1"/>
      <w:numFmt w:val="decimal"/>
      <w:lvlText w:val="%7."/>
      <w:lvlJc w:val="left"/>
      <w:pPr>
        <w:tabs>
          <w:tab w:val="num" w:pos="4680"/>
        </w:tabs>
        <w:ind w:left="4680" w:hanging="360"/>
      </w:pPr>
      <w:rPr>
        <w:rFonts w:cs="Times New Roman"/>
      </w:rPr>
    </w:lvl>
    <w:lvl w:ilvl="7" w:tplc="04090019" w:tentative="true">
      <w:start w:val="1"/>
      <w:numFmt w:val="lowerLetter"/>
      <w:lvlText w:val="%8."/>
      <w:lvlJc w:val="left"/>
      <w:pPr>
        <w:tabs>
          <w:tab w:val="num" w:pos="5400"/>
        </w:tabs>
        <w:ind w:left="5400" w:hanging="360"/>
      </w:pPr>
      <w:rPr>
        <w:rFonts w:cs="Times New Roman"/>
      </w:rPr>
    </w:lvl>
    <w:lvl w:ilvl="8" w:tplc="0409001B" w:tentative="true">
      <w:start w:val="1"/>
      <w:numFmt w:val="lowerRoman"/>
      <w:lvlText w:val="%9."/>
      <w:lvlJc w:val="right"/>
      <w:pPr>
        <w:tabs>
          <w:tab w:val="num" w:pos="6120"/>
        </w:tabs>
        <w:ind w:left="6120" w:hanging="180"/>
      </w:pPr>
      <w:rPr>
        <w:rFonts w:cs="Times New Roman"/>
      </w:rPr>
    </w:lvl>
  </w:abstractNum>
  <w:abstractNum w:abstractNumId="17">
    <w:nsid w:val="7CAD51AB"/>
    <w:multiLevelType w:val="hybridMultilevel"/>
    <w:tmpl w:val="242AB0BC"/>
    <w:lvl w:ilvl="0" w:tplc="0409000F">
      <w:start w:val="1"/>
      <w:numFmt w:val="decimal"/>
      <w:lvlText w:val="%1."/>
      <w:lvlJc w:val="left"/>
      <w:pPr>
        <w:tabs>
          <w:tab w:val="num" w:pos="360"/>
        </w:tabs>
        <w:ind w:left="360" w:hanging="360"/>
      </w:pPr>
      <w:rPr>
        <w:rFonts w:hint="default" w:cs="Times New Roman"/>
      </w:rPr>
    </w:lvl>
    <w:lvl w:ilvl="1" w:tplc="04090019" w:tentative="true">
      <w:start w:val="1"/>
      <w:numFmt w:val="lowerLetter"/>
      <w:lvlText w:val="%2."/>
      <w:lvlJc w:val="left"/>
      <w:pPr>
        <w:tabs>
          <w:tab w:val="num" w:pos="1080"/>
        </w:tabs>
        <w:ind w:left="1080" w:hanging="360"/>
      </w:pPr>
      <w:rPr>
        <w:rFonts w:cs="Times New Roman"/>
      </w:rPr>
    </w:lvl>
    <w:lvl w:ilvl="2" w:tplc="0409001B" w:tentative="true">
      <w:start w:val="1"/>
      <w:numFmt w:val="lowerRoman"/>
      <w:lvlText w:val="%3."/>
      <w:lvlJc w:val="right"/>
      <w:pPr>
        <w:tabs>
          <w:tab w:val="num" w:pos="1800"/>
        </w:tabs>
        <w:ind w:left="1800" w:hanging="180"/>
      </w:pPr>
      <w:rPr>
        <w:rFonts w:cs="Times New Roman"/>
      </w:rPr>
    </w:lvl>
    <w:lvl w:ilvl="3" w:tplc="0409000F" w:tentative="true">
      <w:start w:val="1"/>
      <w:numFmt w:val="decimal"/>
      <w:lvlText w:val="%4."/>
      <w:lvlJc w:val="left"/>
      <w:pPr>
        <w:tabs>
          <w:tab w:val="num" w:pos="2520"/>
        </w:tabs>
        <w:ind w:left="2520" w:hanging="360"/>
      </w:pPr>
      <w:rPr>
        <w:rFonts w:cs="Times New Roman"/>
      </w:rPr>
    </w:lvl>
    <w:lvl w:ilvl="4" w:tplc="04090019" w:tentative="true">
      <w:start w:val="1"/>
      <w:numFmt w:val="lowerLetter"/>
      <w:lvlText w:val="%5."/>
      <w:lvlJc w:val="left"/>
      <w:pPr>
        <w:tabs>
          <w:tab w:val="num" w:pos="3240"/>
        </w:tabs>
        <w:ind w:left="3240" w:hanging="360"/>
      </w:pPr>
      <w:rPr>
        <w:rFonts w:cs="Times New Roman"/>
      </w:rPr>
    </w:lvl>
    <w:lvl w:ilvl="5" w:tplc="0409001B" w:tentative="true">
      <w:start w:val="1"/>
      <w:numFmt w:val="lowerRoman"/>
      <w:lvlText w:val="%6."/>
      <w:lvlJc w:val="right"/>
      <w:pPr>
        <w:tabs>
          <w:tab w:val="num" w:pos="3960"/>
        </w:tabs>
        <w:ind w:left="3960" w:hanging="180"/>
      </w:pPr>
      <w:rPr>
        <w:rFonts w:cs="Times New Roman"/>
      </w:rPr>
    </w:lvl>
    <w:lvl w:ilvl="6" w:tplc="0409000F" w:tentative="true">
      <w:start w:val="1"/>
      <w:numFmt w:val="decimal"/>
      <w:lvlText w:val="%7."/>
      <w:lvlJc w:val="left"/>
      <w:pPr>
        <w:tabs>
          <w:tab w:val="num" w:pos="4680"/>
        </w:tabs>
        <w:ind w:left="4680" w:hanging="360"/>
      </w:pPr>
      <w:rPr>
        <w:rFonts w:cs="Times New Roman"/>
      </w:rPr>
    </w:lvl>
    <w:lvl w:ilvl="7" w:tplc="04090019" w:tentative="true">
      <w:start w:val="1"/>
      <w:numFmt w:val="lowerLetter"/>
      <w:lvlText w:val="%8."/>
      <w:lvlJc w:val="left"/>
      <w:pPr>
        <w:tabs>
          <w:tab w:val="num" w:pos="5400"/>
        </w:tabs>
        <w:ind w:left="5400" w:hanging="360"/>
      </w:pPr>
      <w:rPr>
        <w:rFonts w:cs="Times New Roman"/>
      </w:rPr>
    </w:lvl>
    <w:lvl w:ilvl="8" w:tplc="0409001B" w:tentative="true">
      <w:start w:val="1"/>
      <w:numFmt w:val="lowerRoman"/>
      <w:lvlText w:val="%9."/>
      <w:lvlJc w:val="right"/>
      <w:pPr>
        <w:tabs>
          <w:tab w:val="num" w:pos="6120"/>
        </w:tabs>
        <w:ind w:left="6120" w:hanging="180"/>
      </w:pPr>
      <w:rPr>
        <w:rFonts w:cs="Times New Roman"/>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7"/>
  </w:num>
  <w:num w:numId="14">
    <w:abstractNumId w:val="15"/>
  </w:num>
  <w:num w:numId="15">
    <w:abstractNumId w:val="14"/>
  </w:num>
  <w:num w:numId="16">
    <w:abstractNumId w:val="16"/>
  </w:num>
  <w:num w:numId="17">
    <w:abstractNumId w:val="12"/>
  </w:num>
  <w:num w:numId="18">
    <w:abstractNumId w:val="13"/>
  </w:num>
  <w:num w:numId="19">
    <w:abstractNumId w:val="3"/>
    <w:lvlOverride w:ilvl="0">
      <w:startOverride w:val="1"/>
    </w:lvlOverride>
  </w:num>
</w:numbering>
</file>

<file path=word/settings.xml><?xml version="1.0" encoding="utf-8"?>
<w:setting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view w:val="print"/>
  <w:zoom w:percent="125"/>
  <w:defaultTabStop w:val="720"/>
  <w:characterSpacingControl w:val="doNotCompress"/>
  <w:savePreviewPicture/>
  <w:hdrShapeDefaults>
    <o:shapedefaults spidmax="2049" v:ext="edit"/>
  </w:hdrShapeDefaults>
  <w:footnotePr>
    <w:footnote w:id="-1"/>
    <w:footnote w:id="0"/>
  </w:footnotePr>
  <w:endnotePr>
    <w:endnote w:id="-1"/>
    <w:endnote w:id="0"/>
  </w:endnotePr>
  <w:compat>
    <w:compatSetting w:name="compatibilityMode" w:uri="http://schemas.microsoft.com/office/word" w:val="12"/>
  </w:compat>
  <w:rsids>
    <w:rsidRoot w:val="00EF3550"/>
    <w:rsid w:val="00000EC6"/>
    <w:rsid w:val="00001671"/>
    <w:rsid w:val="000029F4"/>
    <w:rsid w:val="00004F01"/>
    <w:rsid w:val="000079B1"/>
    <w:rsid w:val="000101FE"/>
    <w:rsid w:val="000116B2"/>
    <w:rsid w:val="000153F6"/>
    <w:rsid w:val="0001643E"/>
    <w:rsid w:val="000202EB"/>
    <w:rsid w:val="000204C7"/>
    <w:rsid w:val="00022CF5"/>
    <w:rsid w:val="00024F61"/>
    <w:rsid w:val="0002521E"/>
    <w:rsid w:val="00026149"/>
    <w:rsid w:val="00027899"/>
    <w:rsid w:val="00032C1E"/>
    <w:rsid w:val="0003300B"/>
    <w:rsid w:val="000338FC"/>
    <w:rsid w:val="00034405"/>
    <w:rsid w:val="0003459B"/>
    <w:rsid w:val="00035628"/>
    <w:rsid w:val="000357CA"/>
    <w:rsid w:val="00035F04"/>
    <w:rsid w:val="00042C4D"/>
    <w:rsid w:val="00043B67"/>
    <w:rsid w:val="00044565"/>
    <w:rsid w:val="00047E3E"/>
    <w:rsid w:val="000518AA"/>
    <w:rsid w:val="00052114"/>
    <w:rsid w:val="00053E62"/>
    <w:rsid w:val="00054780"/>
    <w:rsid w:val="00054B4F"/>
    <w:rsid w:val="00056828"/>
    <w:rsid w:val="00057E29"/>
    <w:rsid w:val="00060639"/>
    <w:rsid w:val="00060CE4"/>
    <w:rsid w:val="00061845"/>
    <w:rsid w:val="00061B37"/>
    <w:rsid w:val="00061E41"/>
    <w:rsid w:val="000620FD"/>
    <w:rsid w:val="000661A8"/>
    <w:rsid w:val="00066370"/>
    <w:rsid w:val="000670CF"/>
    <w:rsid w:val="00067FD4"/>
    <w:rsid w:val="00070633"/>
    <w:rsid w:val="000717E5"/>
    <w:rsid w:val="00071F05"/>
    <w:rsid w:val="00072C8A"/>
    <w:rsid w:val="00072F46"/>
    <w:rsid w:val="000734F6"/>
    <w:rsid w:val="00075AB2"/>
    <w:rsid w:val="0007671E"/>
    <w:rsid w:val="00077F16"/>
    <w:rsid w:val="00080209"/>
    <w:rsid w:val="0008068E"/>
    <w:rsid w:val="00080943"/>
    <w:rsid w:val="00080ECB"/>
    <w:rsid w:val="00081136"/>
    <w:rsid w:val="000825DF"/>
    <w:rsid w:val="000831B8"/>
    <w:rsid w:val="00083B49"/>
    <w:rsid w:val="00083BEB"/>
    <w:rsid w:val="0008420F"/>
    <w:rsid w:val="00084E02"/>
    <w:rsid w:val="00085ECE"/>
    <w:rsid w:val="0008764E"/>
    <w:rsid w:val="00087BEC"/>
    <w:rsid w:val="00091139"/>
    <w:rsid w:val="000918AD"/>
    <w:rsid w:val="00093BF8"/>
    <w:rsid w:val="0009415B"/>
    <w:rsid w:val="0009419B"/>
    <w:rsid w:val="00096632"/>
    <w:rsid w:val="00096BAB"/>
    <w:rsid w:val="00096FE3"/>
    <w:rsid w:val="00097155"/>
    <w:rsid w:val="000975D9"/>
    <w:rsid w:val="000A3328"/>
    <w:rsid w:val="000A3869"/>
    <w:rsid w:val="000A3AF5"/>
    <w:rsid w:val="000A6604"/>
    <w:rsid w:val="000A7EB6"/>
    <w:rsid w:val="000B0148"/>
    <w:rsid w:val="000B291F"/>
    <w:rsid w:val="000B45BD"/>
    <w:rsid w:val="000B5D24"/>
    <w:rsid w:val="000B7A3C"/>
    <w:rsid w:val="000C0752"/>
    <w:rsid w:val="000C0905"/>
    <w:rsid w:val="000C20FC"/>
    <w:rsid w:val="000C265E"/>
    <w:rsid w:val="000C3ACA"/>
    <w:rsid w:val="000C4F98"/>
    <w:rsid w:val="000C666E"/>
    <w:rsid w:val="000C74F3"/>
    <w:rsid w:val="000D2573"/>
    <w:rsid w:val="000D422A"/>
    <w:rsid w:val="000D488E"/>
    <w:rsid w:val="000D4D7D"/>
    <w:rsid w:val="000D7D16"/>
    <w:rsid w:val="000E0343"/>
    <w:rsid w:val="000E0D5D"/>
    <w:rsid w:val="000E13BA"/>
    <w:rsid w:val="000E1DFB"/>
    <w:rsid w:val="000E1F9B"/>
    <w:rsid w:val="000E319C"/>
    <w:rsid w:val="000E3358"/>
    <w:rsid w:val="000E34C4"/>
    <w:rsid w:val="000E4A11"/>
    <w:rsid w:val="000E5032"/>
    <w:rsid w:val="000E53D6"/>
    <w:rsid w:val="000E5FBD"/>
    <w:rsid w:val="000E6121"/>
    <w:rsid w:val="000E640E"/>
    <w:rsid w:val="000E6B9A"/>
    <w:rsid w:val="000E6CB6"/>
    <w:rsid w:val="000F04AF"/>
    <w:rsid w:val="000F1DD7"/>
    <w:rsid w:val="000F21DE"/>
    <w:rsid w:val="000F6B53"/>
    <w:rsid w:val="000F7A05"/>
    <w:rsid w:val="00101E3D"/>
    <w:rsid w:val="00102442"/>
    <w:rsid w:val="0010332E"/>
    <w:rsid w:val="0010487A"/>
    <w:rsid w:val="00106CAB"/>
    <w:rsid w:val="0010757C"/>
    <w:rsid w:val="001105E4"/>
    <w:rsid w:val="001121F8"/>
    <w:rsid w:val="00112F30"/>
    <w:rsid w:val="00114CA6"/>
    <w:rsid w:val="00115066"/>
    <w:rsid w:val="00117AB9"/>
    <w:rsid w:val="00117CAF"/>
    <w:rsid w:val="00120904"/>
    <w:rsid w:val="00121945"/>
    <w:rsid w:val="00123B67"/>
    <w:rsid w:val="00124E85"/>
    <w:rsid w:val="00125428"/>
    <w:rsid w:val="001256B0"/>
    <w:rsid w:val="00125FCA"/>
    <w:rsid w:val="001261A0"/>
    <w:rsid w:val="00132B0C"/>
    <w:rsid w:val="00132CEA"/>
    <w:rsid w:val="0013364B"/>
    <w:rsid w:val="00134B79"/>
    <w:rsid w:val="0013545A"/>
    <w:rsid w:val="00135B76"/>
    <w:rsid w:val="00135EA7"/>
    <w:rsid w:val="00136724"/>
    <w:rsid w:val="00140088"/>
    <w:rsid w:val="00141F8B"/>
    <w:rsid w:val="001442FB"/>
    <w:rsid w:val="001460FB"/>
    <w:rsid w:val="00150B00"/>
    <w:rsid w:val="00151FDE"/>
    <w:rsid w:val="00152247"/>
    <w:rsid w:val="001539D4"/>
    <w:rsid w:val="00156045"/>
    <w:rsid w:val="00156205"/>
    <w:rsid w:val="00157D8A"/>
    <w:rsid w:val="0016089C"/>
    <w:rsid w:val="00160AC1"/>
    <w:rsid w:val="0016267E"/>
    <w:rsid w:val="00162A99"/>
    <w:rsid w:val="00163BA8"/>
    <w:rsid w:val="00164969"/>
    <w:rsid w:val="00165B3F"/>
    <w:rsid w:val="00166377"/>
    <w:rsid w:val="001703C2"/>
    <w:rsid w:val="0017195A"/>
    <w:rsid w:val="001728FD"/>
    <w:rsid w:val="00172D3C"/>
    <w:rsid w:val="0017391B"/>
    <w:rsid w:val="00175A92"/>
    <w:rsid w:val="00176F2C"/>
    <w:rsid w:val="0017730C"/>
    <w:rsid w:val="00177DEF"/>
    <w:rsid w:val="00180218"/>
    <w:rsid w:val="00180753"/>
    <w:rsid w:val="00180E8A"/>
    <w:rsid w:val="00181247"/>
    <w:rsid w:val="00181253"/>
    <w:rsid w:val="00182A06"/>
    <w:rsid w:val="0018383F"/>
    <w:rsid w:val="00184182"/>
    <w:rsid w:val="00184AE8"/>
    <w:rsid w:val="00184B7E"/>
    <w:rsid w:val="00184CFB"/>
    <w:rsid w:val="00184F71"/>
    <w:rsid w:val="00186776"/>
    <w:rsid w:val="00190078"/>
    <w:rsid w:val="00192527"/>
    <w:rsid w:val="00192E4D"/>
    <w:rsid w:val="00193AC8"/>
    <w:rsid w:val="00193AF0"/>
    <w:rsid w:val="00194CDA"/>
    <w:rsid w:val="00194DE6"/>
    <w:rsid w:val="00195D5C"/>
    <w:rsid w:val="00197A7A"/>
    <w:rsid w:val="001A0074"/>
    <w:rsid w:val="001A0F7B"/>
    <w:rsid w:val="001A1131"/>
    <w:rsid w:val="001A226D"/>
    <w:rsid w:val="001A6644"/>
    <w:rsid w:val="001A6F81"/>
    <w:rsid w:val="001A781C"/>
    <w:rsid w:val="001A7953"/>
    <w:rsid w:val="001A7F28"/>
    <w:rsid w:val="001B5AF8"/>
    <w:rsid w:val="001B6520"/>
    <w:rsid w:val="001B6936"/>
    <w:rsid w:val="001B75E2"/>
    <w:rsid w:val="001B7DB9"/>
    <w:rsid w:val="001C2692"/>
    <w:rsid w:val="001C3C19"/>
    <w:rsid w:val="001C40DA"/>
    <w:rsid w:val="001C4867"/>
    <w:rsid w:val="001C516A"/>
    <w:rsid w:val="001C5C58"/>
    <w:rsid w:val="001C61C3"/>
    <w:rsid w:val="001C696A"/>
    <w:rsid w:val="001C6F4A"/>
    <w:rsid w:val="001D0384"/>
    <w:rsid w:val="001D20E3"/>
    <w:rsid w:val="001D2586"/>
    <w:rsid w:val="001D269C"/>
    <w:rsid w:val="001D285F"/>
    <w:rsid w:val="001D5457"/>
    <w:rsid w:val="001D6AF5"/>
    <w:rsid w:val="001D6ECF"/>
    <w:rsid w:val="001D78ED"/>
    <w:rsid w:val="001D7E43"/>
    <w:rsid w:val="001E1072"/>
    <w:rsid w:val="001E325A"/>
    <w:rsid w:val="001E3AA1"/>
    <w:rsid w:val="001E3EA8"/>
    <w:rsid w:val="001E551F"/>
    <w:rsid w:val="001E6E6E"/>
    <w:rsid w:val="001E763D"/>
    <w:rsid w:val="001E7D42"/>
    <w:rsid w:val="001F1BE7"/>
    <w:rsid w:val="001F3116"/>
    <w:rsid w:val="001F3C7D"/>
    <w:rsid w:val="001F4E2A"/>
    <w:rsid w:val="001F68DE"/>
    <w:rsid w:val="001F6B14"/>
    <w:rsid w:val="00204E13"/>
    <w:rsid w:val="00205644"/>
    <w:rsid w:val="00205CCE"/>
    <w:rsid w:val="00206DAD"/>
    <w:rsid w:val="00207A05"/>
    <w:rsid w:val="00212E96"/>
    <w:rsid w:val="002130D9"/>
    <w:rsid w:val="002137A1"/>
    <w:rsid w:val="00214170"/>
    <w:rsid w:val="002144A6"/>
    <w:rsid w:val="00215FFC"/>
    <w:rsid w:val="00216A02"/>
    <w:rsid w:val="0021781D"/>
    <w:rsid w:val="00217B66"/>
    <w:rsid w:val="00217EA0"/>
    <w:rsid w:val="00220C8E"/>
    <w:rsid w:val="00221262"/>
    <w:rsid w:val="00221D81"/>
    <w:rsid w:val="00224031"/>
    <w:rsid w:val="00224741"/>
    <w:rsid w:val="00224CD2"/>
    <w:rsid w:val="002266F1"/>
    <w:rsid w:val="00226B59"/>
    <w:rsid w:val="002311BD"/>
    <w:rsid w:val="002323D0"/>
    <w:rsid w:val="0023315D"/>
    <w:rsid w:val="00233524"/>
    <w:rsid w:val="00233956"/>
    <w:rsid w:val="00233ACF"/>
    <w:rsid w:val="002346CD"/>
    <w:rsid w:val="00234918"/>
    <w:rsid w:val="00236F35"/>
    <w:rsid w:val="00236F9D"/>
    <w:rsid w:val="00240AEF"/>
    <w:rsid w:val="0024397D"/>
    <w:rsid w:val="00243E3D"/>
    <w:rsid w:val="00244EDB"/>
    <w:rsid w:val="00247E65"/>
    <w:rsid w:val="0025305C"/>
    <w:rsid w:val="00254774"/>
    <w:rsid w:val="0025577D"/>
    <w:rsid w:val="00255CB4"/>
    <w:rsid w:val="0025607E"/>
    <w:rsid w:val="00256481"/>
    <w:rsid w:val="00261EA3"/>
    <w:rsid w:val="00263B09"/>
    <w:rsid w:val="00263CA8"/>
    <w:rsid w:val="002643F3"/>
    <w:rsid w:val="0026448F"/>
    <w:rsid w:val="002660BC"/>
    <w:rsid w:val="00267042"/>
    <w:rsid w:val="00267FE2"/>
    <w:rsid w:val="0027020F"/>
    <w:rsid w:val="002707F7"/>
    <w:rsid w:val="00270B46"/>
    <w:rsid w:val="00271E3A"/>
    <w:rsid w:val="002721FA"/>
    <w:rsid w:val="00272E1D"/>
    <w:rsid w:val="00275F5E"/>
    <w:rsid w:val="002764CB"/>
    <w:rsid w:val="0027673E"/>
    <w:rsid w:val="00277A52"/>
    <w:rsid w:val="00280459"/>
    <w:rsid w:val="00281E9A"/>
    <w:rsid w:val="00283CA8"/>
    <w:rsid w:val="00284AD9"/>
    <w:rsid w:val="00284E5C"/>
    <w:rsid w:val="00285752"/>
    <w:rsid w:val="002905D8"/>
    <w:rsid w:val="00292ECE"/>
    <w:rsid w:val="00294B1B"/>
    <w:rsid w:val="00294CA9"/>
    <w:rsid w:val="00295998"/>
    <w:rsid w:val="002969C3"/>
    <w:rsid w:val="00296FD9"/>
    <w:rsid w:val="002A2068"/>
    <w:rsid w:val="002A206F"/>
    <w:rsid w:val="002A2980"/>
    <w:rsid w:val="002A4896"/>
    <w:rsid w:val="002A49B8"/>
    <w:rsid w:val="002A4E8C"/>
    <w:rsid w:val="002A5179"/>
    <w:rsid w:val="002A57D8"/>
    <w:rsid w:val="002A5D07"/>
    <w:rsid w:val="002B306F"/>
    <w:rsid w:val="002B5274"/>
    <w:rsid w:val="002C12CE"/>
    <w:rsid w:val="002C155C"/>
    <w:rsid w:val="002C2FAB"/>
    <w:rsid w:val="002C3395"/>
    <w:rsid w:val="002C4269"/>
    <w:rsid w:val="002C451D"/>
    <w:rsid w:val="002C547E"/>
    <w:rsid w:val="002C5F73"/>
    <w:rsid w:val="002C70CE"/>
    <w:rsid w:val="002D34A9"/>
    <w:rsid w:val="002D478C"/>
    <w:rsid w:val="002D566A"/>
    <w:rsid w:val="002E373E"/>
    <w:rsid w:val="002E7287"/>
    <w:rsid w:val="002E7822"/>
    <w:rsid w:val="002F00E3"/>
    <w:rsid w:val="002F2A9F"/>
    <w:rsid w:val="002F4183"/>
    <w:rsid w:val="002F475D"/>
    <w:rsid w:val="002F5272"/>
    <w:rsid w:val="002F664F"/>
    <w:rsid w:val="002F7155"/>
    <w:rsid w:val="002F71D6"/>
    <w:rsid w:val="002F7A63"/>
    <w:rsid w:val="0030068B"/>
    <w:rsid w:val="00302737"/>
    <w:rsid w:val="00303AB8"/>
    <w:rsid w:val="003045F6"/>
    <w:rsid w:val="00304D73"/>
    <w:rsid w:val="00305182"/>
    <w:rsid w:val="003056D6"/>
    <w:rsid w:val="00306E0A"/>
    <w:rsid w:val="00312C1B"/>
    <w:rsid w:val="00314B0B"/>
    <w:rsid w:val="00316098"/>
    <w:rsid w:val="00316631"/>
    <w:rsid w:val="00316EE5"/>
    <w:rsid w:val="00317B1C"/>
    <w:rsid w:val="00321A46"/>
    <w:rsid w:val="00321E62"/>
    <w:rsid w:val="00323299"/>
    <w:rsid w:val="0032477D"/>
    <w:rsid w:val="003262D2"/>
    <w:rsid w:val="00327329"/>
    <w:rsid w:val="00327499"/>
    <w:rsid w:val="00327DDD"/>
    <w:rsid w:val="0033058A"/>
    <w:rsid w:val="00330AC7"/>
    <w:rsid w:val="003317C3"/>
    <w:rsid w:val="0033195A"/>
    <w:rsid w:val="00332A82"/>
    <w:rsid w:val="003350EA"/>
    <w:rsid w:val="003371DB"/>
    <w:rsid w:val="0034021F"/>
    <w:rsid w:val="0034130D"/>
    <w:rsid w:val="0034133C"/>
    <w:rsid w:val="003416A3"/>
    <w:rsid w:val="00342143"/>
    <w:rsid w:val="0034375C"/>
    <w:rsid w:val="00343AC1"/>
    <w:rsid w:val="0034477A"/>
    <w:rsid w:val="0034596B"/>
    <w:rsid w:val="00346C40"/>
    <w:rsid w:val="00350083"/>
    <w:rsid w:val="003504FE"/>
    <w:rsid w:val="00351DF3"/>
    <w:rsid w:val="003521B8"/>
    <w:rsid w:val="00352316"/>
    <w:rsid w:val="00352977"/>
    <w:rsid w:val="003543C9"/>
    <w:rsid w:val="00354514"/>
    <w:rsid w:val="003550DA"/>
    <w:rsid w:val="003553D6"/>
    <w:rsid w:val="003558E7"/>
    <w:rsid w:val="00356DF3"/>
    <w:rsid w:val="00357C5C"/>
    <w:rsid w:val="00361CC3"/>
    <w:rsid w:val="003636A4"/>
    <w:rsid w:val="00364B41"/>
    <w:rsid w:val="00365CE8"/>
    <w:rsid w:val="003668AF"/>
    <w:rsid w:val="00370741"/>
    <w:rsid w:val="0037146A"/>
    <w:rsid w:val="0037176A"/>
    <w:rsid w:val="00373A69"/>
    <w:rsid w:val="00375479"/>
    <w:rsid w:val="0037664B"/>
    <w:rsid w:val="00377B14"/>
    <w:rsid w:val="00380C4B"/>
    <w:rsid w:val="003814EF"/>
    <w:rsid w:val="003827C5"/>
    <w:rsid w:val="00383267"/>
    <w:rsid w:val="00383DA8"/>
    <w:rsid w:val="00383E3E"/>
    <w:rsid w:val="00384469"/>
    <w:rsid w:val="00392557"/>
    <w:rsid w:val="00393270"/>
    <w:rsid w:val="00393D1A"/>
    <w:rsid w:val="00394D6A"/>
    <w:rsid w:val="00394F4A"/>
    <w:rsid w:val="003958CF"/>
    <w:rsid w:val="00396613"/>
    <w:rsid w:val="003A05A0"/>
    <w:rsid w:val="003A05C5"/>
    <w:rsid w:val="003A13CA"/>
    <w:rsid w:val="003A1AB1"/>
    <w:rsid w:val="003A1AEA"/>
    <w:rsid w:val="003A231A"/>
    <w:rsid w:val="003A3022"/>
    <w:rsid w:val="003A35A7"/>
    <w:rsid w:val="003A3BED"/>
    <w:rsid w:val="003A3DFE"/>
    <w:rsid w:val="003A415B"/>
    <w:rsid w:val="003A4A28"/>
    <w:rsid w:val="003A5B2A"/>
    <w:rsid w:val="003A683D"/>
    <w:rsid w:val="003B2D3A"/>
    <w:rsid w:val="003B441D"/>
    <w:rsid w:val="003B47FF"/>
    <w:rsid w:val="003B66A4"/>
    <w:rsid w:val="003B7C61"/>
    <w:rsid w:val="003C0F81"/>
    <w:rsid w:val="003C0FDC"/>
    <w:rsid w:val="003C1534"/>
    <w:rsid w:val="003C1628"/>
    <w:rsid w:val="003C2B1B"/>
    <w:rsid w:val="003C2DA5"/>
    <w:rsid w:val="003C43EF"/>
    <w:rsid w:val="003C464D"/>
    <w:rsid w:val="003C4B53"/>
    <w:rsid w:val="003C6161"/>
    <w:rsid w:val="003D20C4"/>
    <w:rsid w:val="003D4D5B"/>
    <w:rsid w:val="003D70BB"/>
    <w:rsid w:val="003D72A1"/>
    <w:rsid w:val="003D76CD"/>
    <w:rsid w:val="003E0F35"/>
    <w:rsid w:val="003E14A9"/>
    <w:rsid w:val="003E22CB"/>
    <w:rsid w:val="003E258F"/>
    <w:rsid w:val="003E3562"/>
    <w:rsid w:val="003E3F93"/>
    <w:rsid w:val="003E44AF"/>
    <w:rsid w:val="003E4568"/>
    <w:rsid w:val="003E60F8"/>
    <w:rsid w:val="003E7DDE"/>
    <w:rsid w:val="003F0F13"/>
    <w:rsid w:val="003F5DE1"/>
    <w:rsid w:val="003F5F7A"/>
    <w:rsid w:val="004000E2"/>
    <w:rsid w:val="00400274"/>
    <w:rsid w:val="00400B9A"/>
    <w:rsid w:val="00403D51"/>
    <w:rsid w:val="004102A4"/>
    <w:rsid w:val="00413021"/>
    <w:rsid w:val="00413518"/>
    <w:rsid w:val="0041369A"/>
    <w:rsid w:val="00415912"/>
    <w:rsid w:val="00416FB6"/>
    <w:rsid w:val="0042286B"/>
    <w:rsid w:val="00425F63"/>
    <w:rsid w:val="00427D78"/>
    <w:rsid w:val="0043271A"/>
    <w:rsid w:val="00432796"/>
    <w:rsid w:val="00432EB4"/>
    <w:rsid w:val="00432F29"/>
    <w:rsid w:val="00434057"/>
    <w:rsid w:val="00435096"/>
    <w:rsid w:val="00440CE0"/>
    <w:rsid w:val="0044241B"/>
    <w:rsid w:val="00443A29"/>
    <w:rsid w:val="00443DE8"/>
    <w:rsid w:val="00444619"/>
    <w:rsid w:val="004448CA"/>
    <w:rsid w:val="004468BC"/>
    <w:rsid w:val="00447517"/>
    <w:rsid w:val="00450760"/>
    <w:rsid w:val="00450FE7"/>
    <w:rsid w:val="00451AA9"/>
    <w:rsid w:val="004527FE"/>
    <w:rsid w:val="00452EC7"/>
    <w:rsid w:val="00453175"/>
    <w:rsid w:val="00453780"/>
    <w:rsid w:val="0045398A"/>
    <w:rsid w:val="00455495"/>
    <w:rsid w:val="00461B64"/>
    <w:rsid w:val="0046519F"/>
    <w:rsid w:val="004657FC"/>
    <w:rsid w:val="0046678C"/>
    <w:rsid w:val="0046760B"/>
    <w:rsid w:val="004702B9"/>
    <w:rsid w:val="00470BB5"/>
    <w:rsid w:val="004718FE"/>
    <w:rsid w:val="00474B58"/>
    <w:rsid w:val="00474C83"/>
    <w:rsid w:val="00480DA8"/>
    <w:rsid w:val="004829FE"/>
    <w:rsid w:val="00483625"/>
    <w:rsid w:val="004854F8"/>
    <w:rsid w:val="0048572B"/>
    <w:rsid w:val="004871B3"/>
    <w:rsid w:val="00487807"/>
    <w:rsid w:val="00487944"/>
    <w:rsid w:val="00490153"/>
    <w:rsid w:val="004908D4"/>
    <w:rsid w:val="00492522"/>
    <w:rsid w:val="00492CAF"/>
    <w:rsid w:val="00494561"/>
    <w:rsid w:val="00495F6A"/>
    <w:rsid w:val="00496E0E"/>
    <w:rsid w:val="004A0406"/>
    <w:rsid w:val="004A1723"/>
    <w:rsid w:val="004A1D57"/>
    <w:rsid w:val="004A2462"/>
    <w:rsid w:val="004A2A46"/>
    <w:rsid w:val="004A5050"/>
    <w:rsid w:val="004A7384"/>
    <w:rsid w:val="004A7843"/>
    <w:rsid w:val="004B329E"/>
    <w:rsid w:val="004B35BC"/>
    <w:rsid w:val="004B3E8D"/>
    <w:rsid w:val="004B50AE"/>
    <w:rsid w:val="004B5691"/>
    <w:rsid w:val="004B757F"/>
    <w:rsid w:val="004C0183"/>
    <w:rsid w:val="004C0761"/>
    <w:rsid w:val="004C280F"/>
    <w:rsid w:val="004C468D"/>
    <w:rsid w:val="004C554B"/>
    <w:rsid w:val="004C753E"/>
    <w:rsid w:val="004C7E89"/>
    <w:rsid w:val="004D3AE0"/>
    <w:rsid w:val="004D5110"/>
    <w:rsid w:val="004D5FF2"/>
    <w:rsid w:val="004E06E9"/>
    <w:rsid w:val="004E197E"/>
    <w:rsid w:val="004E2C11"/>
    <w:rsid w:val="004E2E25"/>
    <w:rsid w:val="004E58D2"/>
    <w:rsid w:val="004F07E5"/>
    <w:rsid w:val="004F0B11"/>
    <w:rsid w:val="004F0D4F"/>
    <w:rsid w:val="004F0F57"/>
    <w:rsid w:val="004F21B9"/>
    <w:rsid w:val="004F2470"/>
    <w:rsid w:val="004F2D29"/>
    <w:rsid w:val="004F38B8"/>
    <w:rsid w:val="004F3C75"/>
    <w:rsid w:val="004F7A38"/>
    <w:rsid w:val="0050137C"/>
    <w:rsid w:val="005017BA"/>
    <w:rsid w:val="0050191F"/>
    <w:rsid w:val="00502117"/>
    <w:rsid w:val="00503688"/>
    <w:rsid w:val="005038F5"/>
    <w:rsid w:val="00503EE0"/>
    <w:rsid w:val="00504EE0"/>
    <w:rsid w:val="0050535B"/>
    <w:rsid w:val="005074B6"/>
    <w:rsid w:val="005104BB"/>
    <w:rsid w:val="00511841"/>
    <w:rsid w:val="005126A4"/>
    <w:rsid w:val="00513F6F"/>
    <w:rsid w:val="00515ECB"/>
    <w:rsid w:val="00520331"/>
    <w:rsid w:val="00521B6A"/>
    <w:rsid w:val="0052234D"/>
    <w:rsid w:val="00523217"/>
    <w:rsid w:val="00526159"/>
    <w:rsid w:val="00527D19"/>
    <w:rsid w:val="00530312"/>
    <w:rsid w:val="00530783"/>
    <w:rsid w:val="00530CAA"/>
    <w:rsid w:val="00531BD7"/>
    <w:rsid w:val="00534D2C"/>
    <w:rsid w:val="00536044"/>
    <w:rsid w:val="00536B89"/>
    <w:rsid w:val="00536CE1"/>
    <w:rsid w:val="00537533"/>
    <w:rsid w:val="005401AF"/>
    <w:rsid w:val="00540586"/>
    <w:rsid w:val="005417CD"/>
    <w:rsid w:val="00542D7E"/>
    <w:rsid w:val="005438C6"/>
    <w:rsid w:val="00547F83"/>
    <w:rsid w:val="00551421"/>
    <w:rsid w:val="005535E3"/>
    <w:rsid w:val="00554930"/>
    <w:rsid w:val="00554CC3"/>
    <w:rsid w:val="00556A53"/>
    <w:rsid w:val="005578DD"/>
    <w:rsid w:val="00557BF4"/>
    <w:rsid w:val="005607C4"/>
    <w:rsid w:val="00560DD5"/>
    <w:rsid w:val="00562B98"/>
    <w:rsid w:val="0056434A"/>
    <w:rsid w:val="00565784"/>
    <w:rsid w:val="005660B4"/>
    <w:rsid w:val="0056695E"/>
    <w:rsid w:val="00570790"/>
    <w:rsid w:val="005720BF"/>
    <w:rsid w:val="00572D8A"/>
    <w:rsid w:val="00572E71"/>
    <w:rsid w:val="005736E3"/>
    <w:rsid w:val="005737EC"/>
    <w:rsid w:val="00573AC7"/>
    <w:rsid w:val="00575829"/>
    <w:rsid w:val="005803CD"/>
    <w:rsid w:val="005816FC"/>
    <w:rsid w:val="00581869"/>
    <w:rsid w:val="00581F9B"/>
    <w:rsid w:val="00583B84"/>
    <w:rsid w:val="0058430F"/>
    <w:rsid w:val="00584916"/>
    <w:rsid w:val="00584C2C"/>
    <w:rsid w:val="005856C6"/>
    <w:rsid w:val="005861B6"/>
    <w:rsid w:val="00593262"/>
    <w:rsid w:val="005943CB"/>
    <w:rsid w:val="00594456"/>
    <w:rsid w:val="00594D9A"/>
    <w:rsid w:val="00595263"/>
    <w:rsid w:val="005A031D"/>
    <w:rsid w:val="005A06D4"/>
    <w:rsid w:val="005A185B"/>
    <w:rsid w:val="005A2798"/>
    <w:rsid w:val="005A3617"/>
    <w:rsid w:val="005A384F"/>
    <w:rsid w:val="005A4587"/>
    <w:rsid w:val="005A56A4"/>
    <w:rsid w:val="005A6341"/>
    <w:rsid w:val="005A6511"/>
    <w:rsid w:val="005A6EB7"/>
    <w:rsid w:val="005A7B5B"/>
    <w:rsid w:val="005B3518"/>
    <w:rsid w:val="005B41CA"/>
    <w:rsid w:val="005B71FB"/>
    <w:rsid w:val="005C1A32"/>
    <w:rsid w:val="005C1B2E"/>
    <w:rsid w:val="005C21FA"/>
    <w:rsid w:val="005C6C51"/>
    <w:rsid w:val="005D0D3F"/>
    <w:rsid w:val="005D112C"/>
    <w:rsid w:val="005D1834"/>
    <w:rsid w:val="005D28B7"/>
    <w:rsid w:val="005D53B6"/>
    <w:rsid w:val="005D6D7E"/>
    <w:rsid w:val="005D725E"/>
    <w:rsid w:val="005E5820"/>
    <w:rsid w:val="005E624A"/>
    <w:rsid w:val="005F324E"/>
    <w:rsid w:val="005F4B6C"/>
    <w:rsid w:val="005F4E97"/>
    <w:rsid w:val="005F6F31"/>
    <w:rsid w:val="005F7D60"/>
    <w:rsid w:val="006014B6"/>
    <w:rsid w:val="00601936"/>
    <w:rsid w:val="0060228B"/>
    <w:rsid w:val="0060434F"/>
    <w:rsid w:val="00604858"/>
    <w:rsid w:val="006050EE"/>
    <w:rsid w:val="006051A3"/>
    <w:rsid w:val="006053DE"/>
    <w:rsid w:val="0060618D"/>
    <w:rsid w:val="00611099"/>
    <w:rsid w:val="00612D8D"/>
    <w:rsid w:val="00614724"/>
    <w:rsid w:val="00615D54"/>
    <w:rsid w:val="00616684"/>
    <w:rsid w:val="00617974"/>
    <w:rsid w:val="006211BC"/>
    <w:rsid w:val="006222B0"/>
    <w:rsid w:val="00624399"/>
    <w:rsid w:val="006250FB"/>
    <w:rsid w:val="00626214"/>
    <w:rsid w:val="00626273"/>
    <w:rsid w:val="00626E96"/>
    <w:rsid w:val="006278C0"/>
    <w:rsid w:val="00631E30"/>
    <w:rsid w:val="00633253"/>
    <w:rsid w:val="006343B2"/>
    <w:rsid w:val="00634978"/>
    <w:rsid w:val="006349AE"/>
    <w:rsid w:val="00634F83"/>
    <w:rsid w:val="006351A2"/>
    <w:rsid w:val="00635656"/>
    <w:rsid w:val="00635C86"/>
    <w:rsid w:val="00637636"/>
    <w:rsid w:val="00641E93"/>
    <w:rsid w:val="00644A8B"/>
    <w:rsid w:val="00647D86"/>
    <w:rsid w:val="00652006"/>
    <w:rsid w:val="0065246C"/>
    <w:rsid w:val="0065549B"/>
    <w:rsid w:val="00661D55"/>
    <w:rsid w:val="006651FC"/>
    <w:rsid w:val="00665241"/>
    <w:rsid w:val="00665277"/>
    <w:rsid w:val="006655A4"/>
    <w:rsid w:val="006664DF"/>
    <w:rsid w:val="00667719"/>
    <w:rsid w:val="00671C60"/>
    <w:rsid w:val="00672E7A"/>
    <w:rsid w:val="006736ED"/>
    <w:rsid w:val="00673DC6"/>
    <w:rsid w:val="00674C23"/>
    <w:rsid w:val="00675241"/>
    <w:rsid w:val="00675D68"/>
    <w:rsid w:val="00676FF0"/>
    <w:rsid w:val="00677C85"/>
    <w:rsid w:val="00680748"/>
    <w:rsid w:val="00680AF7"/>
    <w:rsid w:val="00681CD4"/>
    <w:rsid w:val="006827E4"/>
    <w:rsid w:val="006839D2"/>
    <w:rsid w:val="00683FE0"/>
    <w:rsid w:val="006851AB"/>
    <w:rsid w:val="006867F9"/>
    <w:rsid w:val="00686948"/>
    <w:rsid w:val="00691CC4"/>
    <w:rsid w:val="00691F10"/>
    <w:rsid w:val="0069273F"/>
    <w:rsid w:val="00693BED"/>
    <w:rsid w:val="006942F4"/>
    <w:rsid w:val="006950B9"/>
    <w:rsid w:val="00695779"/>
    <w:rsid w:val="00695965"/>
    <w:rsid w:val="006960B5"/>
    <w:rsid w:val="006A1B9F"/>
    <w:rsid w:val="006A3251"/>
    <w:rsid w:val="006A3E2C"/>
    <w:rsid w:val="006A5CF6"/>
    <w:rsid w:val="006A7B8B"/>
    <w:rsid w:val="006B03E4"/>
    <w:rsid w:val="006B04CE"/>
    <w:rsid w:val="006B17E1"/>
    <w:rsid w:val="006B3540"/>
    <w:rsid w:val="006B4590"/>
    <w:rsid w:val="006B4C68"/>
    <w:rsid w:val="006B53E2"/>
    <w:rsid w:val="006B5478"/>
    <w:rsid w:val="006C0080"/>
    <w:rsid w:val="006C1C1B"/>
    <w:rsid w:val="006C1DD6"/>
    <w:rsid w:val="006C3518"/>
    <w:rsid w:val="006C3FD7"/>
    <w:rsid w:val="006C44E9"/>
    <w:rsid w:val="006C4C77"/>
    <w:rsid w:val="006C59F0"/>
    <w:rsid w:val="006C7539"/>
    <w:rsid w:val="006D1BF1"/>
    <w:rsid w:val="006D34BA"/>
    <w:rsid w:val="006D374D"/>
    <w:rsid w:val="006D3FDB"/>
    <w:rsid w:val="006D658C"/>
    <w:rsid w:val="006E18CB"/>
    <w:rsid w:val="006E282A"/>
    <w:rsid w:val="006E3482"/>
    <w:rsid w:val="006E4DEC"/>
    <w:rsid w:val="006E54E8"/>
    <w:rsid w:val="006E59B8"/>
    <w:rsid w:val="006E5F96"/>
    <w:rsid w:val="006E6627"/>
    <w:rsid w:val="006E67EA"/>
    <w:rsid w:val="006F04ED"/>
    <w:rsid w:val="006F0A51"/>
    <w:rsid w:val="006F255E"/>
    <w:rsid w:val="006F354E"/>
    <w:rsid w:val="006F3D64"/>
    <w:rsid w:val="006F5D4E"/>
    <w:rsid w:val="006F647A"/>
    <w:rsid w:val="006F657F"/>
    <w:rsid w:val="006F746C"/>
    <w:rsid w:val="006F7A4C"/>
    <w:rsid w:val="00702AC5"/>
    <w:rsid w:val="00704FE4"/>
    <w:rsid w:val="00705DFE"/>
    <w:rsid w:val="00713DB8"/>
    <w:rsid w:val="00715514"/>
    <w:rsid w:val="0071598D"/>
    <w:rsid w:val="00715B36"/>
    <w:rsid w:val="007164AA"/>
    <w:rsid w:val="007172F1"/>
    <w:rsid w:val="00720AF1"/>
    <w:rsid w:val="00720EDD"/>
    <w:rsid w:val="00721618"/>
    <w:rsid w:val="00721F36"/>
    <w:rsid w:val="00722B5D"/>
    <w:rsid w:val="007252EE"/>
    <w:rsid w:val="00725EA1"/>
    <w:rsid w:val="00726887"/>
    <w:rsid w:val="00726A4A"/>
    <w:rsid w:val="007333B9"/>
    <w:rsid w:val="00733B6F"/>
    <w:rsid w:val="0073427D"/>
    <w:rsid w:val="00740EAC"/>
    <w:rsid w:val="007412C3"/>
    <w:rsid w:val="0074344B"/>
    <w:rsid w:val="00745E9A"/>
    <w:rsid w:val="00750EA1"/>
    <w:rsid w:val="00752484"/>
    <w:rsid w:val="007577DC"/>
    <w:rsid w:val="0076214F"/>
    <w:rsid w:val="00764377"/>
    <w:rsid w:val="007649B9"/>
    <w:rsid w:val="00767A38"/>
    <w:rsid w:val="00767BB1"/>
    <w:rsid w:val="00771668"/>
    <w:rsid w:val="00772BE1"/>
    <w:rsid w:val="007730F1"/>
    <w:rsid w:val="0077341A"/>
    <w:rsid w:val="007737B6"/>
    <w:rsid w:val="00774F22"/>
    <w:rsid w:val="00775A4F"/>
    <w:rsid w:val="00782307"/>
    <w:rsid w:val="00782F74"/>
    <w:rsid w:val="00783551"/>
    <w:rsid w:val="00784F23"/>
    <w:rsid w:val="007851FC"/>
    <w:rsid w:val="0078560A"/>
    <w:rsid w:val="00785BF8"/>
    <w:rsid w:val="00785E81"/>
    <w:rsid w:val="00787012"/>
    <w:rsid w:val="00787544"/>
    <w:rsid w:val="00790CB6"/>
    <w:rsid w:val="00791DCE"/>
    <w:rsid w:val="0079226E"/>
    <w:rsid w:val="00793C28"/>
    <w:rsid w:val="00794935"/>
    <w:rsid w:val="00796005"/>
    <w:rsid w:val="00796394"/>
    <w:rsid w:val="007A05ED"/>
    <w:rsid w:val="007A27AA"/>
    <w:rsid w:val="007A45CE"/>
    <w:rsid w:val="007A55B0"/>
    <w:rsid w:val="007A6C54"/>
    <w:rsid w:val="007A6E48"/>
    <w:rsid w:val="007A705F"/>
    <w:rsid w:val="007B0DDC"/>
    <w:rsid w:val="007B11DD"/>
    <w:rsid w:val="007B2073"/>
    <w:rsid w:val="007B24CD"/>
    <w:rsid w:val="007B262D"/>
    <w:rsid w:val="007B5415"/>
    <w:rsid w:val="007C0902"/>
    <w:rsid w:val="007C0E6F"/>
    <w:rsid w:val="007C2B34"/>
    <w:rsid w:val="007C3E50"/>
    <w:rsid w:val="007C62EF"/>
    <w:rsid w:val="007C66DC"/>
    <w:rsid w:val="007C709C"/>
    <w:rsid w:val="007D0172"/>
    <w:rsid w:val="007D0F81"/>
    <w:rsid w:val="007D407D"/>
    <w:rsid w:val="007D4512"/>
    <w:rsid w:val="007D670D"/>
    <w:rsid w:val="007D7EA9"/>
    <w:rsid w:val="007E3F10"/>
    <w:rsid w:val="007E7D06"/>
    <w:rsid w:val="007F08FF"/>
    <w:rsid w:val="007F0D98"/>
    <w:rsid w:val="007F1CE6"/>
    <w:rsid w:val="007F2E0A"/>
    <w:rsid w:val="007F3814"/>
    <w:rsid w:val="007F4762"/>
    <w:rsid w:val="007F47CA"/>
    <w:rsid w:val="007F7CEF"/>
    <w:rsid w:val="008025A0"/>
    <w:rsid w:val="00802DDE"/>
    <w:rsid w:val="008032DD"/>
    <w:rsid w:val="0080435B"/>
    <w:rsid w:val="00804FD8"/>
    <w:rsid w:val="008052B0"/>
    <w:rsid w:val="00805D85"/>
    <w:rsid w:val="00806546"/>
    <w:rsid w:val="008071BC"/>
    <w:rsid w:val="00810DB9"/>
    <w:rsid w:val="0081158B"/>
    <w:rsid w:val="008126F7"/>
    <w:rsid w:val="008138BD"/>
    <w:rsid w:val="00813FDE"/>
    <w:rsid w:val="008147E7"/>
    <w:rsid w:val="00814A8E"/>
    <w:rsid w:val="00817315"/>
    <w:rsid w:val="008206E2"/>
    <w:rsid w:val="0082146C"/>
    <w:rsid w:val="008217FB"/>
    <w:rsid w:val="008225C9"/>
    <w:rsid w:val="00822631"/>
    <w:rsid w:val="00822900"/>
    <w:rsid w:val="00824CBF"/>
    <w:rsid w:val="00826653"/>
    <w:rsid w:val="00827DE9"/>
    <w:rsid w:val="00841729"/>
    <w:rsid w:val="0084250C"/>
    <w:rsid w:val="008425D0"/>
    <w:rsid w:val="0084334C"/>
    <w:rsid w:val="00843642"/>
    <w:rsid w:val="00843E58"/>
    <w:rsid w:val="0084478E"/>
    <w:rsid w:val="00844A61"/>
    <w:rsid w:val="00846D79"/>
    <w:rsid w:val="00851368"/>
    <w:rsid w:val="00852869"/>
    <w:rsid w:val="00854867"/>
    <w:rsid w:val="00856274"/>
    <w:rsid w:val="00856558"/>
    <w:rsid w:val="00856DB6"/>
    <w:rsid w:val="008572F7"/>
    <w:rsid w:val="008573DE"/>
    <w:rsid w:val="00857F56"/>
    <w:rsid w:val="0086024D"/>
    <w:rsid w:val="00860487"/>
    <w:rsid w:val="008606E9"/>
    <w:rsid w:val="008613B8"/>
    <w:rsid w:val="008614E2"/>
    <w:rsid w:val="0086339E"/>
    <w:rsid w:val="00864921"/>
    <w:rsid w:val="00865BB4"/>
    <w:rsid w:val="0086736A"/>
    <w:rsid w:val="008674B6"/>
    <w:rsid w:val="008676F3"/>
    <w:rsid w:val="00871F8E"/>
    <w:rsid w:val="00872276"/>
    <w:rsid w:val="00873F89"/>
    <w:rsid w:val="00874162"/>
    <w:rsid w:val="00876268"/>
    <w:rsid w:val="008767E4"/>
    <w:rsid w:val="0087683D"/>
    <w:rsid w:val="00880DDF"/>
    <w:rsid w:val="00881271"/>
    <w:rsid w:val="00882C99"/>
    <w:rsid w:val="008871BE"/>
    <w:rsid w:val="00887F56"/>
    <w:rsid w:val="008909A1"/>
    <w:rsid w:val="00890DB2"/>
    <w:rsid w:val="0089240C"/>
    <w:rsid w:val="00892B7E"/>
    <w:rsid w:val="00895AF0"/>
    <w:rsid w:val="00895C97"/>
    <w:rsid w:val="0089639D"/>
    <w:rsid w:val="00896D79"/>
    <w:rsid w:val="00897D59"/>
    <w:rsid w:val="008A005F"/>
    <w:rsid w:val="008A159B"/>
    <w:rsid w:val="008A401F"/>
    <w:rsid w:val="008A689A"/>
    <w:rsid w:val="008A6E06"/>
    <w:rsid w:val="008A76A4"/>
    <w:rsid w:val="008B2D5E"/>
    <w:rsid w:val="008B37DF"/>
    <w:rsid w:val="008B3804"/>
    <w:rsid w:val="008B564C"/>
    <w:rsid w:val="008B6AC5"/>
    <w:rsid w:val="008C0CA6"/>
    <w:rsid w:val="008C1CF8"/>
    <w:rsid w:val="008C3587"/>
    <w:rsid w:val="008C45E1"/>
    <w:rsid w:val="008C4F77"/>
    <w:rsid w:val="008D11E6"/>
    <w:rsid w:val="008D16A4"/>
    <w:rsid w:val="008D3839"/>
    <w:rsid w:val="008D4015"/>
    <w:rsid w:val="008D4571"/>
    <w:rsid w:val="008D4DCD"/>
    <w:rsid w:val="008D4E10"/>
    <w:rsid w:val="008D5677"/>
    <w:rsid w:val="008D6489"/>
    <w:rsid w:val="008D7010"/>
    <w:rsid w:val="008D7F12"/>
    <w:rsid w:val="008E0238"/>
    <w:rsid w:val="008E09E7"/>
    <w:rsid w:val="008E1598"/>
    <w:rsid w:val="008E4093"/>
    <w:rsid w:val="008E4468"/>
    <w:rsid w:val="008E4DEC"/>
    <w:rsid w:val="008E4F2B"/>
    <w:rsid w:val="008E55AE"/>
    <w:rsid w:val="008E6929"/>
    <w:rsid w:val="008E69BF"/>
    <w:rsid w:val="008E7C9B"/>
    <w:rsid w:val="008E7DE7"/>
    <w:rsid w:val="008F1EF5"/>
    <w:rsid w:val="008F27CE"/>
    <w:rsid w:val="008F38C7"/>
    <w:rsid w:val="008F3C4D"/>
    <w:rsid w:val="00900C1A"/>
    <w:rsid w:val="009052FB"/>
    <w:rsid w:val="009070F0"/>
    <w:rsid w:val="00907D17"/>
    <w:rsid w:val="00907F2A"/>
    <w:rsid w:val="00910F15"/>
    <w:rsid w:val="00915EEF"/>
    <w:rsid w:val="009170F7"/>
    <w:rsid w:val="00920686"/>
    <w:rsid w:val="00921681"/>
    <w:rsid w:val="00921962"/>
    <w:rsid w:val="00922425"/>
    <w:rsid w:val="00923FC9"/>
    <w:rsid w:val="00926242"/>
    <w:rsid w:val="009273EC"/>
    <w:rsid w:val="009320FA"/>
    <w:rsid w:val="009334AF"/>
    <w:rsid w:val="009342CC"/>
    <w:rsid w:val="009367E2"/>
    <w:rsid w:val="00937F69"/>
    <w:rsid w:val="00940319"/>
    <w:rsid w:val="0094223C"/>
    <w:rsid w:val="00942F2E"/>
    <w:rsid w:val="00945544"/>
    <w:rsid w:val="0094565C"/>
    <w:rsid w:val="00945A9B"/>
    <w:rsid w:val="00945C87"/>
    <w:rsid w:val="00947080"/>
    <w:rsid w:val="009509E9"/>
    <w:rsid w:val="00950A71"/>
    <w:rsid w:val="00950C03"/>
    <w:rsid w:val="009523EE"/>
    <w:rsid w:val="009525E5"/>
    <w:rsid w:val="00952A72"/>
    <w:rsid w:val="00955E6F"/>
    <w:rsid w:val="00955FBB"/>
    <w:rsid w:val="00956692"/>
    <w:rsid w:val="00957DF4"/>
    <w:rsid w:val="00960C1E"/>
    <w:rsid w:val="00960E2D"/>
    <w:rsid w:val="009623C7"/>
    <w:rsid w:val="00964535"/>
    <w:rsid w:val="00966717"/>
    <w:rsid w:val="009704E5"/>
    <w:rsid w:val="009707C5"/>
    <w:rsid w:val="00970E29"/>
    <w:rsid w:val="0097274B"/>
    <w:rsid w:val="009735E6"/>
    <w:rsid w:val="00973B58"/>
    <w:rsid w:val="00973DB7"/>
    <w:rsid w:val="009745FE"/>
    <w:rsid w:val="00975B3E"/>
    <w:rsid w:val="00975EE0"/>
    <w:rsid w:val="00976110"/>
    <w:rsid w:val="009763B7"/>
    <w:rsid w:val="00977A94"/>
    <w:rsid w:val="009813A9"/>
    <w:rsid w:val="009815CD"/>
    <w:rsid w:val="00981EAD"/>
    <w:rsid w:val="00981EBA"/>
    <w:rsid w:val="0098301A"/>
    <w:rsid w:val="0098781B"/>
    <w:rsid w:val="0099006D"/>
    <w:rsid w:val="00994EB9"/>
    <w:rsid w:val="00995920"/>
    <w:rsid w:val="00996B5E"/>
    <w:rsid w:val="009A2FD9"/>
    <w:rsid w:val="009A38B6"/>
    <w:rsid w:val="009A59F3"/>
    <w:rsid w:val="009A68A0"/>
    <w:rsid w:val="009B202B"/>
    <w:rsid w:val="009B3B58"/>
    <w:rsid w:val="009B3C01"/>
    <w:rsid w:val="009B42BB"/>
    <w:rsid w:val="009B5E8F"/>
    <w:rsid w:val="009B6C74"/>
    <w:rsid w:val="009B73F1"/>
    <w:rsid w:val="009C2327"/>
    <w:rsid w:val="009C38E1"/>
    <w:rsid w:val="009C482A"/>
    <w:rsid w:val="009C6626"/>
    <w:rsid w:val="009C72D3"/>
    <w:rsid w:val="009C7430"/>
    <w:rsid w:val="009D00D3"/>
    <w:rsid w:val="009D05DF"/>
    <w:rsid w:val="009D1AE9"/>
    <w:rsid w:val="009D2206"/>
    <w:rsid w:val="009D325B"/>
    <w:rsid w:val="009D36DA"/>
    <w:rsid w:val="009D3BAC"/>
    <w:rsid w:val="009D45B8"/>
    <w:rsid w:val="009D4FE9"/>
    <w:rsid w:val="009D594F"/>
    <w:rsid w:val="009D5D10"/>
    <w:rsid w:val="009D624F"/>
    <w:rsid w:val="009D63B0"/>
    <w:rsid w:val="009D694A"/>
    <w:rsid w:val="009E0C7F"/>
    <w:rsid w:val="009E1997"/>
    <w:rsid w:val="009E2CC7"/>
    <w:rsid w:val="009E4092"/>
    <w:rsid w:val="009E65DD"/>
    <w:rsid w:val="009E6A84"/>
    <w:rsid w:val="009F1D78"/>
    <w:rsid w:val="009F2DBE"/>
    <w:rsid w:val="009F3CD6"/>
    <w:rsid w:val="009F4E4E"/>
    <w:rsid w:val="009F5289"/>
    <w:rsid w:val="009F5514"/>
    <w:rsid w:val="009F665C"/>
    <w:rsid w:val="00A0023F"/>
    <w:rsid w:val="00A015E5"/>
    <w:rsid w:val="00A06651"/>
    <w:rsid w:val="00A07979"/>
    <w:rsid w:val="00A12814"/>
    <w:rsid w:val="00A12E1E"/>
    <w:rsid w:val="00A13688"/>
    <w:rsid w:val="00A1423C"/>
    <w:rsid w:val="00A15540"/>
    <w:rsid w:val="00A16077"/>
    <w:rsid w:val="00A2102A"/>
    <w:rsid w:val="00A21160"/>
    <w:rsid w:val="00A216AA"/>
    <w:rsid w:val="00A2183E"/>
    <w:rsid w:val="00A2308A"/>
    <w:rsid w:val="00A236E1"/>
    <w:rsid w:val="00A253DC"/>
    <w:rsid w:val="00A25BCB"/>
    <w:rsid w:val="00A265CE"/>
    <w:rsid w:val="00A30227"/>
    <w:rsid w:val="00A30A91"/>
    <w:rsid w:val="00A3295F"/>
    <w:rsid w:val="00A32A56"/>
    <w:rsid w:val="00A33D1E"/>
    <w:rsid w:val="00A34D46"/>
    <w:rsid w:val="00A363B6"/>
    <w:rsid w:val="00A369A6"/>
    <w:rsid w:val="00A40368"/>
    <w:rsid w:val="00A40B7C"/>
    <w:rsid w:val="00A4284B"/>
    <w:rsid w:val="00A42A24"/>
    <w:rsid w:val="00A42C4C"/>
    <w:rsid w:val="00A43EB7"/>
    <w:rsid w:val="00A44FDC"/>
    <w:rsid w:val="00A45FEF"/>
    <w:rsid w:val="00A464AC"/>
    <w:rsid w:val="00A5008B"/>
    <w:rsid w:val="00A5173B"/>
    <w:rsid w:val="00A53367"/>
    <w:rsid w:val="00A54666"/>
    <w:rsid w:val="00A56195"/>
    <w:rsid w:val="00A56364"/>
    <w:rsid w:val="00A57189"/>
    <w:rsid w:val="00A60422"/>
    <w:rsid w:val="00A60E51"/>
    <w:rsid w:val="00A63158"/>
    <w:rsid w:val="00A64DFC"/>
    <w:rsid w:val="00A7052E"/>
    <w:rsid w:val="00A7382F"/>
    <w:rsid w:val="00A73B8C"/>
    <w:rsid w:val="00A75277"/>
    <w:rsid w:val="00A752FE"/>
    <w:rsid w:val="00A810AB"/>
    <w:rsid w:val="00A82FE0"/>
    <w:rsid w:val="00A8431B"/>
    <w:rsid w:val="00A8482E"/>
    <w:rsid w:val="00A84C96"/>
    <w:rsid w:val="00A84F27"/>
    <w:rsid w:val="00A86496"/>
    <w:rsid w:val="00A86D92"/>
    <w:rsid w:val="00A87560"/>
    <w:rsid w:val="00A91ABA"/>
    <w:rsid w:val="00A91BE5"/>
    <w:rsid w:val="00A9535D"/>
    <w:rsid w:val="00A97002"/>
    <w:rsid w:val="00A97A29"/>
    <w:rsid w:val="00A97EE2"/>
    <w:rsid w:val="00AA0A98"/>
    <w:rsid w:val="00AA2025"/>
    <w:rsid w:val="00AA2334"/>
    <w:rsid w:val="00AA525B"/>
    <w:rsid w:val="00AA598D"/>
    <w:rsid w:val="00AA5AE7"/>
    <w:rsid w:val="00AA6759"/>
    <w:rsid w:val="00AA7092"/>
    <w:rsid w:val="00AA78DC"/>
    <w:rsid w:val="00AB0008"/>
    <w:rsid w:val="00AB041C"/>
    <w:rsid w:val="00AB1270"/>
    <w:rsid w:val="00AB262D"/>
    <w:rsid w:val="00AB64CF"/>
    <w:rsid w:val="00AB664E"/>
    <w:rsid w:val="00AB6C62"/>
    <w:rsid w:val="00AB7948"/>
    <w:rsid w:val="00AB7E17"/>
    <w:rsid w:val="00AC039F"/>
    <w:rsid w:val="00AC15FE"/>
    <w:rsid w:val="00AC5877"/>
    <w:rsid w:val="00AC679B"/>
    <w:rsid w:val="00AC6F02"/>
    <w:rsid w:val="00AC7AE7"/>
    <w:rsid w:val="00AD287A"/>
    <w:rsid w:val="00AD4328"/>
    <w:rsid w:val="00AD5B65"/>
    <w:rsid w:val="00AD6239"/>
    <w:rsid w:val="00AD6388"/>
    <w:rsid w:val="00AD75A9"/>
    <w:rsid w:val="00AD777E"/>
    <w:rsid w:val="00AD7D57"/>
    <w:rsid w:val="00AD7E03"/>
    <w:rsid w:val="00AD7F25"/>
    <w:rsid w:val="00AE224C"/>
    <w:rsid w:val="00AE3650"/>
    <w:rsid w:val="00AE4853"/>
    <w:rsid w:val="00AE5B27"/>
    <w:rsid w:val="00AE610D"/>
    <w:rsid w:val="00AE6801"/>
    <w:rsid w:val="00AE6E53"/>
    <w:rsid w:val="00AF0EAF"/>
    <w:rsid w:val="00AF1352"/>
    <w:rsid w:val="00AF1CA3"/>
    <w:rsid w:val="00AF1CEF"/>
    <w:rsid w:val="00AF24B4"/>
    <w:rsid w:val="00AF5886"/>
    <w:rsid w:val="00AF738F"/>
    <w:rsid w:val="00B007CA"/>
    <w:rsid w:val="00B01222"/>
    <w:rsid w:val="00B01292"/>
    <w:rsid w:val="00B0187F"/>
    <w:rsid w:val="00B03B5F"/>
    <w:rsid w:val="00B041F4"/>
    <w:rsid w:val="00B04BD3"/>
    <w:rsid w:val="00B070CE"/>
    <w:rsid w:val="00B1267E"/>
    <w:rsid w:val="00B12832"/>
    <w:rsid w:val="00B128B5"/>
    <w:rsid w:val="00B1307E"/>
    <w:rsid w:val="00B14EA7"/>
    <w:rsid w:val="00B16275"/>
    <w:rsid w:val="00B21369"/>
    <w:rsid w:val="00B22721"/>
    <w:rsid w:val="00B25B82"/>
    <w:rsid w:val="00B26F08"/>
    <w:rsid w:val="00B33732"/>
    <w:rsid w:val="00B33834"/>
    <w:rsid w:val="00B358FB"/>
    <w:rsid w:val="00B36132"/>
    <w:rsid w:val="00B366A0"/>
    <w:rsid w:val="00B40C82"/>
    <w:rsid w:val="00B42F80"/>
    <w:rsid w:val="00B458D2"/>
    <w:rsid w:val="00B475FF"/>
    <w:rsid w:val="00B477AA"/>
    <w:rsid w:val="00B57E44"/>
    <w:rsid w:val="00B62912"/>
    <w:rsid w:val="00B66AC5"/>
    <w:rsid w:val="00B70479"/>
    <w:rsid w:val="00B70A4C"/>
    <w:rsid w:val="00B72880"/>
    <w:rsid w:val="00B73637"/>
    <w:rsid w:val="00B73A57"/>
    <w:rsid w:val="00B750FA"/>
    <w:rsid w:val="00B77597"/>
    <w:rsid w:val="00B775A7"/>
    <w:rsid w:val="00B80D86"/>
    <w:rsid w:val="00B8119C"/>
    <w:rsid w:val="00B81535"/>
    <w:rsid w:val="00B835EA"/>
    <w:rsid w:val="00B839C8"/>
    <w:rsid w:val="00B86009"/>
    <w:rsid w:val="00B87DD9"/>
    <w:rsid w:val="00B92720"/>
    <w:rsid w:val="00B92AD3"/>
    <w:rsid w:val="00B92DA9"/>
    <w:rsid w:val="00B94097"/>
    <w:rsid w:val="00B96275"/>
    <w:rsid w:val="00B97B96"/>
    <w:rsid w:val="00BA0926"/>
    <w:rsid w:val="00BA19EA"/>
    <w:rsid w:val="00BA2F73"/>
    <w:rsid w:val="00BA329C"/>
    <w:rsid w:val="00BA38CD"/>
    <w:rsid w:val="00BA3E6D"/>
    <w:rsid w:val="00BA48F6"/>
    <w:rsid w:val="00BA6793"/>
    <w:rsid w:val="00BA7C08"/>
    <w:rsid w:val="00BB151C"/>
    <w:rsid w:val="00BB1A88"/>
    <w:rsid w:val="00BB1B23"/>
    <w:rsid w:val="00BB1F27"/>
    <w:rsid w:val="00BB30AB"/>
    <w:rsid w:val="00BB62A9"/>
    <w:rsid w:val="00BB7CA0"/>
    <w:rsid w:val="00BC14C9"/>
    <w:rsid w:val="00BC3EDC"/>
    <w:rsid w:val="00BC5D8D"/>
    <w:rsid w:val="00BC610B"/>
    <w:rsid w:val="00BC6403"/>
    <w:rsid w:val="00BD030B"/>
    <w:rsid w:val="00BD0F4E"/>
    <w:rsid w:val="00BD1C6C"/>
    <w:rsid w:val="00BD2469"/>
    <w:rsid w:val="00BD3554"/>
    <w:rsid w:val="00BD3719"/>
    <w:rsid w:val="00BD3C18"/>
    <w:rsid w:val="00BD4FFF"/>
    <w:rsid w:val="00BD5DCA"/>
    <w:rsid w:val="00BD6424"/>
    <w:rsid w:val="00BD7B4D"/>
    <w:rsid w:val="00BE1DCB"/>
    <w:rsid w:val="00BE2F66"/>
    <w:rsid w:val="00BE42B5"/>
    <w:rsid w:val="00BE4709"/>
    <w:rsid w:val="00BF06D9"/>
    <w:rsid w:val="00BF0A87"/>
    <w:rsid w:val="00BF1407"/>
    <w:rsid w:val="00BF25A0"/>
    <w:rsid w:val="00BF2649"/>
    <w:rsid w:val="00BF2D1A"/>
    <w:rsid w:val="00BF2DC2"/>
    <w:rsid w:val="00BF3BE3"/>
    <w:rsid w:val="00BF6419"/>
    <w:rsid w:val="00BF7A8C"/>
    <w:rsid w:val="00C01567"/>
    <w:rsid w:val="00C029B2"/>
    <w:rsid w:val="00C0398F"/>
    <w:rsid w:val="00C04F43"/>
    <w:rsid w:val="00C05B04"/>
    <w:rsid w:val="00C10594"/>
    <w:rsid w:val="00C11FA2"/>
    <w:rsid w:val="00C12AAF"/>
    <w:rsid w:val="00C13610"/>
    <w:rsid w:val="00C14A0C"/>
    <w:rsid w:val="00C14B7E"/>
    <w:rsid w:val="00C15387"/>
    <w:rsid w:val="00C16DF1"/>
    <w:rsid w:val="00C17326"/>
    <w:rsid w:val="00C21726"/>
    <w:rsid w:val="00C22435"/>
    <w:rsid w:val="00C22E4F"/>
    <w:rsid w:val="00C23973"/>
    <w:rsid w:val="00C24966"/>
    <w:rsid w:val="00C26E07"/>
    <w:rsid w:val="00C274F2"/>
    <w:rsid w:val="00C30CAB"/>
    <w:rsid w:val="00C316C3"/>
    <w:rsid w:val="00C31F6E"/>
    <w:rsid w:val="00C3229E"/>
    <w:rsid w:val="00C328ED"/>
    <w:rsid w:val="00C3346D"/>
    <w:rsid w:val="00C340E1"/>
    <w:rsid w:val="00C35260"/>
    <w:rsid w:val="00C355D8"/>
    <w:rsid w:val="00C36613"/>
    <w:rsid w:val="00C401DB"/>
    <w:rsid w:val="00C42AC6"/>
    <w:rsid w:val="00C42CC5"/>
    <w:rsid w:val="00C42E79"/>
    <w:rsid w:val="00C453CA"/>
    <w:rsid w:val="00C51AC5"/>
    <w:rsid w:val="00C523A4"/>
    <w:rsid w:val="00C52410"/>
    <w:rsid w:val="00C55BB0"/>
    <w:rsid w:val="00C55D58"/>
    <w:rsid w:val="00C56A08"/>
    <w:rsid w:val="00C61D7F"/>
    <w:rsid w:val="00C645A5"/>
    <w:rsid w:val="00C7734E"/>
    <w:rsid w:val="00C82706"/>
    <w:rsid w:val="00C82A59"/>
    <w:rsid w:val="00C837C8"/>
    <w:rsid w:val="00C87016"/>
    <w:rsid w:val="00C87017"/>
    <w:rsid w:val="00C8752A"/>
    <w:rsid w:val="00C87C09"/>
    <w:rsid w:val="00C910F4"/>
    <w:rsid w:val="00C92F15"/>
    <w:rsid w:val="00C93119"/>
    <w:rsid w:val="00C95248"/>
    <w:rsid w:val="00C95CB5"/>
    <w:rsid w:val="00C95E4E"/>
    <w:rsid w:val="00C95EDC"/>
    <w:rsid w:val="00C96108"/>
    <w:rsid w:val="00C97029"/>
    <w:rsid w:val="00C9717D"/>
    <w:rsid w:val="00C97429"/>
    <w:rsid w:val="00CA0A36"/>
    <w:rsid w:val="00CA0FB7"/>
    <w:rsid w:val="00CA13B1"/>
    <w:rsid w:val="00CA2F72"/>
    <w:rsid w:val="00CA3B94"/>
    <w:rsid w:val="00CA59DE"/>
    <w:rsid w:val="00CA5A05"/>
    <w:rsid w:val="00CA6A76"/>
    <w:rsid w:val="00CA7734"/>
    <w:rsid w:val="00CB0D81"/>
    <w:rsid w:val="00CB2C07"/>
    <w:rsid w:val="00CB399B"/>
    <w:rsid w:val="00CB4942"/>
    <w:rsid w:val="00CB78CF"/>
    <w:rsid w:val="00CC283E"/>
    <w:rsid w:val="00CC2DD1"/>
    <w:rsid w:val="00CC44E1"/>
    <w:rsid w:val="00CC51A1"/>
    <w:rsid w:val="00CC52F1"/>
    <w:rsid w:val="00CC5798"/>
    <w:rsid w:val="00CC59CB"/>
    <w:rsid w:val="00CC7632"/>
    <w:rsid w:val="00CD1DF0"/>
    <w:rsid w:val="00CD24C7"/>
    <w:rsid w:val="00CD2707"/>
    <w:rsid w:val="00CD2FE3"/>
    <w:rsid w:val="00CD4B5B"/>
    <w:rsid w:val="00CD63BE"/>
    <w:rsid w:val="00CD68B7"/>
    <w:rsid w:val="00CD7B3C"/>
    <w:rsid w:val="00CD7D80"/>
    <w:rsid w:val="00CD7E5D"/>
    <w:rsid w:val="00CE0E1C"/>
    <w:rsid w:val="00CE5873"/>
    <w:rsid w:val="00CF13F0"/>
    <w:rsid w:val="00CF14E7"/>
    <w:rsid w:val="00CF2DCA"/>
    <w:rsid w:val="00CF57D1"/>
    <w:rsid w:val="00CF6310"/>
    <w:rsid w:val="00CF6C2D"/>
    <w:rsid w:val="00D0135E"/>
    <w:rsid w:val="00D02360"/>
    <w:rsid w:val="00D03D94"/>
    <w:rsid w:val="00D0446D"/>
    <w:rsid w:val="00D04DEE"/>
    <w:rsid w:val="00D058F2"/>
    <w:rsid w:val="00D07407"/>
    <w:rsid w:val="00D07814"/>
    <w:rsid w:val="00D07D6B"/>
    <w:rsid w:val="00D111F9"/>
    <w:rsid w:val="00D125AA"/>
    <w:rsid w:val="00D14746"/>
    <w:rsid w:val="00D151B2"/>
    <w:rsid w:val="00D16B2B"/>
    <w:rsid w:val="00D20D36"/>
    <w:rsid w:val="00D223AB"/>
    <w:rsid w:val="00D22E25"/>
    <w:rsid w:val="00D23658"/>
    <w:rsid w:val="00D26858"/>
    <w:rsid w:val="00D27FF6"/>
    <w:rsid w:val="00D30F38"/>
    <w:rsid w:val="00D3279E"/>
    <w:rsid w:val="00D337A8"/>
    <w:rsid w:val="00D33EC8"/>
    <w:rsid w:val="00D435FD"/>
    <w:rsid w:val="00D4437B"/>
    <w:rsid w:val="00D4548E"/>
    <w:rsid w:val="00D46D9A"/>
    <w:rsid w:val="00D46DA1"/>
    <w:rsid w:val="00D47A86"/>
    <w:rsid w:val="00D50962"/>
    <w:rsid w:val="00D50E02"/>
    <w:rsid w:val="00D51A79"/>
    <w:rsid w:val="00D5234C"/>
    <w:rsid w:val="00D53996"/>
    <w:rsid w:val="00D53C0D"/>
    <w:rsid w:val="00D53DD9"/>
    <w:rsid w:val="00D568D5"/>
    <w:rsid w:val="00D621DB"/>
    <w:rsid w:val="00D62EAF"/>
    <w:rsid w:val="00D636DA"/>
    <w:rsid w:val="00D63869"/>
    <w:rsid w:val="00D639C6"/>
    <w:rsid w:val="00D65B4D"/>
    <w:rsid w:val="00D65EE9"/>
    <w:rsid w:val="00D65FAE"/>
    <w:rsid w:val="00D66059"/>
    <w:rsid w:val="00D66A92"/>
    <w:rsid w:val="00D67E91"/>
    <w:rsid w:val="00D70818"/>
    <w:rsid w:val="00D71190"/>
    <w:rsid w:val="00D7124E"/>
    <w:rsid w:val="00D7136A"/>
    <w:rsid w:val="00D71CE0"/>
    <w:rsid w:val="00D721AE"/>
    <w:rsid w:val="00D72BDE"/>
    <w:rsid w:val="00D733A5"/>
    <w:rsid w:val="00D74192"/>
    <w:rsid w:val="00D75577"/>
    <w:rsid w:val="00D80814"/>
    <w:rsid w:val="00D81723"/>
    <w:rsid w:val="00D825C6"/>
    <w:rsid w:val="00D85693"/>
    <w:rsid w:val="00D90CB1"/>
    <w:rsid w:val="00D9157D"/>
    <w:rsid w:val="00D91A19"/>
    <w:rsid w:val="00D930B8"/>
    <w:rsid w:val="00D94546"/>
    <w:rsid w:val="00D975BC"/>
    <w:rsid w:val="00D97E54"/>
    <w:rsid w:val="00DA034F"/>
    <w:rsid w:val="00DA1500"/>
    <w:rsid w:val="00DA1B60"/>
    <w:rsid w:val="00DA3582"/>
    <w:rsid w:val="00DA44F1"/>
    <w:rsid w:val="00DB1161"/>
    <w:rsid w:val="00DB2061"/>
    <w:rsid w:val="00DB384C"/>
    <w:rsid w:val="00DB3B2C"/>
    <w:rsid w:val="00DB3E90"/>
    <w:rsid w:val="00DB618B"/>
    <w:rsid w:val="00DB6B1B"/>
    <w:rsid w:val="00DB79FD"/>
    <w:rsid w:val="00DB7C9F"/>
    <w:rsid w:val="00DC0303"/>
    <w:rsid w:val="00DC43B1"/>
    <w:rsid w:val="00DC6BB7"/>
    <w:rsid w:val="00DC7212"/>
    <w:rsid w:val="00DD10BA"/>
    <w:rsid w:val="00DD2A3A"/>
    <w:rsid w:val="00DD399E"/>
    <w:rsid w:val="00DD49F6"/>
    <w:rsid w:val="00DD49F9"/>
    <w:rsid w:val="00DD579C"/>
    <w:rsid w:val="00DD57EA"/>
    <w:rsid w:val="00DD7280"/>
    <w:rsid w:val="00DE4AD6"/>
    <w:rsid w:val="00DE4FFC"/>
    <w:rsid w:val="00DE507C"/>
    <w:rsid w:val="00DE5D54"/>
    <w:rsid w:val="00DE6C1C"/>
    <w:rsid w:val="00DF0AAB"/>
    <w:rsid w:val="00DF12D7"/>
    <w:rsid w:val="00DF3B5B"/>
    <w:rsid w:val="00DF405D"/>
    <w:rsid w:val="00DF5C82"/>
    <w:rsid w:val="00DF6275"/>
    <w:rsid w:val="00DF76EB"/>
    <w:rsid w:val="00DF7A02"/>
    <w:rsid w:val="00DF7C6D"/>
    <w:rsid w:val="00E0213D"/>
    <w:rsid w:val="00E04978"/>
    <w:rsid w:val="00E04FEC"/>
    <w:rsid w:val="00E10961"/>
    <w:rsid w:val="00E10DA6"/>
    <w:rsid w:val="00E1161A"/>
    <w:rsid w:val="00E134F2"/>
    <w:rsid w:val="00E13D5D"/>
    <w:rsid w:val="00E140AF"/>
    <w:rsid w:val="00E15F22"/>
    <w:rsid w:val="00E16886"/>
    <w:rsid w:val="00E16CD5"/>
    <w:rsid w:val="00E16DAA"/>
    <w:rsid w:val="00E17072"/>
    <w:rsid w:val="00E17518"/>
    <w:rsid w:val="00E200AF"/>
    <w:rsid w:val="00E20477"/>
    <w:rsid w:val="00E20C21"/>
    <w:rsid w:val="00E219C8"/>
    <w:rsid w:val="00E236DD"/>
    <w:rsid w:val="00E263F0"/>
    <w:rsid w:val="00E2641F"/>
    <w:rsid w:val="00E272C2"/>
    <w:rsid w:val="00E27A71"/>
    <w:rsid w:val="00E306EA"/>
    <w:rsid w:val="00E32312"/>
    <w:rsid w:val="00E3662B"/>
    <w:rsid w:val="00E401D2"/>
    <w:rsid w:val="00E410E6"/>
    <w:rsid w:val="00E4156B"/>
    <w:rsid w:val="00E420F3"/>
    <w:rsid w:val="00E42E3C"/>
    <w:rsid w:val="00E44A79"/>
    <w:rsid w:val="00E44FFD"/>
    <w:rsid w:val="00E458E3"/>
    <w:rsid w:val="00E47A50"/>
    <w:rsid w:val="00E5039C"/>
    <w:rsid w:val="00E51C07"/>
    <w:rsid w:val="00E5218D"/>
    <w:rsid w:val="00E5368B"/>
    <w:rsid w:val="00E54255"/>
    <w:rsid w:val="00E54913"/>
    <w:rsid w:val="00E54CB6"/>
    <w:rsid w:val="00E56B7C"/>
    <w:rsid w:val="00E56CB4"/>
    <w:rsid w:val="00E6013A"/>
    <w:rsid w:val="00E620F4"/>
    <w:rsid w:val="00E62C9D"/>
    <w:rsid w:val="00E63917"/>
    <w:rsid w:val="00E65702"/>
    <w:rsid w:val="00E65EC3"/>
    <w:rsid w:val="00E6638D"/>
    <w:rsid w:val="00E67E5B"/>
    <w:rsid w:val="00E7106F"/>
    <w:rsid w:val="00E711DF"/>
    <w:rsid w:val="00E7152D"/>
    <w:rsid w:val="00E71AE3"/>
    <w:rsid w:val="00E72BB1"/>
    <w:rsid w:val="00E72C52"/>
    <w:rsid w:val="00E72F11"/>
    <w:rsid w:val="00E73A4D"/>
    <w:rsid w:val="00E7425D"/>
    <w:rsid w:val="00E74427"/>
    <w:rsid w:val="00E75EDD"/>
    <w:rsid w:val="00E76C43"/>
    <w:rsid w:val="00E76C6E"/>
    <w:rsid w:val="00E77C4C"/>
    <w:rsid w:val="00E77FDD"/>
    <w:rsid w:val="00E828D0"/>
    <w:rsid w:val="00E82FBD"/>
    <w:rsid w:val="00E8388E"/>
    <w:rsid w:val="00E87735"/>
    <w:rsid w:val="00E87FB4"/>
    <w:rsid w:val="00E91F38"/>
    <w:rsid w:val="00E9218C"/>
    <w:rsid w:val="00E92771"/>
    <w:rsid w:val="00E92C46"/>
    <w:rsid w:val="00E93691"/>
    <w:rsid w:val="00E95C81"/>
    <w:rsid w:val="00E95F24"/>
    <w:rsid w:val="00E96DD1"/>
    <w:rsid w:val="00E96F5F"/>
    <w:rsid w:val="00E979D5"/>
    <w:rsid w:val="00E97F21"/>
    <w:rsid w:val="00EA011C"/>
    <w:rsid w:val="00EA159D"/>
    <w:rsid w:val="00EA199E"/>
    <w:rsid w:val="00EA30C7"/>
    <w:rsid w:val="00EA457D"/>
    <w:rsid w:val="00EA47C5"/>
    <w:rsid w:val="00EA5EF0"/>
    <w:rsid w:val="00EA7B76"/>
    <w:rsid w:val="00EB053E"/>
    <w:rsid w:val="00EB11C5"/>
    <w:rsid w:val="00EB2906"/>
    <w:rsid w:val="00EB416C"/>
    <w:rsid w:val="00EB5750"/>
    <w:rsid w:val="00EB5BB6"/>
    <w:rsid w:val="00EB62FE"/>
    <w:rsid w:val="00EB6AAA"/>
    <w:rsid w:val="00EC0E29"/>
    <w:rsid w:val="00EC2250"/>
    <w:rsid w:val="00EC3831"/>
    <w:rsid w:val="00EC3E8A"/>
    <w:rsid w:val="00EC4018"/>
    <w:rsid w:val="00EC5335"/>
    <w:rsid w:val="00ED0068"/>
    <w:rsid w:val="00ED1207"/>
    <w:rsid w:val="00ED20CD"/>
    <w:rsid w:val="00ED430E"/>
    <w:rsid w:val="00ED5AEA"/>
    <w:rsid w:val="00EE0AA7"/>
    <w:rsid w:val="00EE2B21"/>
    <w:rsid w:val="00EE36DF"/>
    <w:rsid w:val="00EE3B18"/>
    <w:rsid w:val="00EE44EE"/>
    <w:rsid w:val="00EE47B8"/>
    <w:rsid w:val="00EF2866"/>
    <w:rsid w:val="00EF327A"/>
    <w:rsid w:val="00EF3550"/>
    <w:rsid w:val="00EF3B7E"/>
    <w:rsid w:val="00EF3DF0"/>
    <w:rsid w:val="00EF44AB"/>
    <w:rsid w:val="00EF48BD"/>
    <w:rsid w:val="00EF5B80"/>
    <w:rsid w:val="00EF5C44"/>
    <w:rsid w:val="00EF7421"/>
    <w:rsid w:val="00EF7523"/>
    <w:rsid w:val="00EF7804"/>
    <w:rsid w:val="00EF7C2C"/>
    <w:rsid w:val="00F0581A"/>
    <w:rsid w:val="00F06B34"/>
    <w:rsid w:val="00F12E7A"/>
    <w:rsid w:val="00F16C58"/>
    <w:rsid w:val="00F21166"/>
    <w:rsid w:val="00F23E23"/>
    <w:rsid w:val="00F24293"/>
    <w:rsid w:val="00F24602"/>
    <w:rsid w:val="00F26307"/>
    <w:rsid w:val="00F273F6"/>
    <w:rsid w:val="00F27D5A"/>
    <w:rsid w:val="00F31F75"/>
    <w:rsid w:val="00F33010"/>
    <w:rsid w:val="00F33874"/>
    <w:rsid w:val="00F344BF"/>
    <w:rsid w:val="00F353A6"/>
    <w:rsid w:val="00F356CA"/>
    <w:rsid w:val="00F35881"/>
    <w:rsid w:val="00F35A5B"/>
    <w:rsid w:val="00F37AB4"/>
    <w:rsid w:val="00F4071A"/>
    <w:rsid w:val="00F43C57"/>
    <w:rsid w:val="00F43E42"/>
    <w:rsid w:val="00F44A8E"/>
    <w:rsid w:val="00F474E0"/>
    <w:rsid w:val="00F5101A"/>
    <w:rsid w:val="00F5270A"/>
    <w:rsid w:val="00F52A24"/>
    <w:rsid w:val="00F52DB8"/>
    <w:rsid w:val="00F6017C"/>
    <w:rsid w:val="00F60DD4"/>
    <w:rsid w:val="00F60E55"/>
    <w:rsid w:val="00F61C58"/>
    <w:rsid w:val="00F63DD9"/>
    <w:rsid w:val="00F654CA"/>
    <w:rsid w:val="00F7048F"/>
    <w:rsid w:val="00F70C15"/>
    <w:rsid w:val="00F70D0E"/>
    <w:rsid w:val="00F73787"/>
    <w:rsid w:val="00F739A9"/>
    <w:rsid w:val="00F73ACC"/>
    <w:rsid w:val="00F754EA"/>
    <w:rsid w:val="00F75BE5"/>
    <w:rsid w:val="00F80D78"/>
    <w:rsid w:val="00F840CC"/>
    <w:rsid w:val="00F8506D"/>
    <w:rsid w:val="00F8556F"/>
    <w:rsid w:val="00F85FA8"/>
    <w:rsid w:val="00F8657F"/>
    <w:rsid w:val="00F86815"/>
    <w:rsid w:val="00F86B59"/>
    <w:rsid w:val="00F86BA5"/>
    <w:rsid w:val="00F87F8C"/>
    <w:rsid w:val="00F91278"/>
    <w:rsid w:val="00F92EA8"/>
    <w:rsid w:val="00F93369"/>
    <w:rsid w:val="00F95C68"/>
    <w:rsid w:val="00F95E65"/>
    <w:rsid w:val="00F95EAD"/>
    <w:rsid w:val="00F963CF"/>
    <w:rsid w:val="00F9756F"/>
    <w:rsid w:val="00FA225D"/>
    <w:rsid w:val="00FA39D5"/>
    <w:rsid w:val="00FA42AD"/>
    <w:rsid w:val="00FA6989"/>
    <w:rsid w:val="00FB0B76"/>
    <w:rsid w:val="00FB2D74"/>
    <w:rsid w:val="00FB307C"/>
    <w:rsid w:val="00FB45D0"/>
    <w:rsid w:val="00FB5507"/>
    <w:rsid w:val="00FB6031"/>
    <w:rsid w:val="00FB64FA"/>
    <w:rsid w:val="00FB7016"/>
    <w:rsid w:val="00FC002B"/>
    <w:rsid w:val="00FC077E"/>
    <w:rsid w:val="00FC1508"/>
    <w:rsid w:val="00FC1A14"/>
    <w:rsid w:val="00FC39B6"/>
    <w:rsid w:val="00FC72E9"/>
    <w:rsid w:val="00FD17DB"/>
    <w:rsid w:val="00FD1C84"/>
    <w:rsid w:val="00FD2D1F"/>
    <w:rsid w:val="00FD38CD"/>
    <w:rsid w:val="00FD3A31"/>
    <w:rsid w:val="00FD44E7"/>
    <w:rsid w:val="00FD4746"/>
    <w:rsid w:val="00FD5C28"/>
    <w:rsid w:val="00FD60AE"/>
    <w:rsid w:val="00FD6DD0"/>
    <w:rsid w:val="00FD71B1"/>
    <w:rsid w:val="00FD7857"/>
    <w:rsid w:val="00FE0FE7"/>
    <w:rsid w:val="00FE3504"/>
    <w:rsid w:val="00FE3989"/>
    <w:rsid w:val="00FE3DB8"/>
    <w:rsid w:val="00FE4024"/>
    <w:rsid w:val="00FE423B"/>
    <w:rsid w:val="00FE46B3"/>
    <w:rsid w:val="00FE48FC"/>
    <w:rsid w:val="00FE565F"/>
    <w:rsid w:val="00FE640A"/>
    <w:rsid w:val="00FE7B9C"/>
    <w:rsid w:val="00FE7BFD"/>
    <w:rsid w:val="00FE7FF6"/>
    <w:rsid w:val="00FF0DE4"/>
    <w:rsid w:val="00FF4908"/>
    <w:rsid w:val="00FF4B3D"/>
    <w:rsid w:val="00FF6799"/>
    <w:rsid w:val="00FF751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spidmax="2049" v:ext="edit"/>
    <o:shapelayout v:ext="edit">
      <o:idmap data="1" v:ext="edit"/>
    </o:shapelayout>
  </w:shapeDefaults>
  <w:decimalSymbol w:val="."/>
  <w:listSeparator w:val=","/>
  <w14:docId w14:val="27526FAC"/>
  <w15:docId w15:val="{3850AFDC-FE58-4BD4-BB1D-0929AB773D1F}"/>
</w:setting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Calibri" w:hAnsi="Calibri" w:eastAsia="Calibri" w:cs="Times New Roman"/>
        <w:sz w:val="22"/>
        <w:szCs w:val="22"/>
        <w:lang w:val="en-US" w:eastAsia="en-US" w:bidi="ar-SA"/>
      </w:rPr>
    </w:rPrDefault>
    <w:pPrDefault/>
  </w:docDefaults>
  <w:latentStyles w:defLockedState="false" w:defUIPriority="99" w:defSemiHidden="false" w:defUnhideWhenUsed="false" w:defQFormat="false" w:count="371">
    <w:lsdException w:name="Normal" w:locked="true" w:uiPriority="0" w:qFormat="true"/>
    <w:lsdException w:name="heading 1" w:locked="true" w:qFormat="true"/>
    <w:lsdException w:name="heading 2" w:locked="true" w:qFormat="true"/>
    <w:lsdException w:name="heading 3" w:locked="true" w:uiPriority="0" w:semiHidden="true" w:unhideWhenUsed="true" w:qFormat="true"/>
    <w:lsdException w:name="heading 4" w:locked="true" w:uiPriority="0" w:semiHidden="true" w:unhideWhenUsed="true" w:qFormat="true"/>
    <w:lsdException w:name="heading 5" w:locked="true" w:uiPriority="0" w:semiHidden="true" w:unhideWhenUsed="true" w:qFormat="true"/>
    <w:lsdException w:name="heading 6" w:locked="true" w:uiPriority="0" w:semiHidden="true" w:unhideWhenUsed="true" w:qFormat="true"/>
    <w:lsdException w:name="heading 7" w:locked="true" w:uiPriority="0" w:semiHidden="true" w:unhideWhenUsed="true" w:qFormat="true"/>
    <w:lsdException w:name="heading 8" w:locked="true" w:uiPriority="0" w:semiHidden="true" w:unhideWhenUsed="true" w:qFormat="true"/>
    <w:lsdException w:name="heading 9" w:locked="true" w:uiPriority="0"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locked="true"/>
    <w:lsdException w:name="toc 2" w:locked="true"/>
    <w:lsdException w:name="toc 3" w:locked="true" w:uiPriority="0"/>
    <w:lsdException w:name="toc 4" w:locked="true" w:uiPriority="0"/>
    <w:lsdException w:name="toc 5" w:locked="true" w:uiPriority="0"/>
    <w:lsdException w:name="toc 6" w:locked="true" w:uiPriority="0"/>
    <w:lsdException w:name="toc 7" w:locked="true" w:uiPriority="0"/>
    <w:lsdException w:name="toc 8" w:locked="true" w:uiPriority="0"/>
    <w:lsdException w:name="toc 9" w:locked="true" w:uiPriority="0"/>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lock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locked="true" w:uiPriority="0" w:qFormat="true"/>
    <w:lsdException w:name="Closing" w:semiHidden="true" w:unhideWhenUsed="true"/>
    <w:lsdException w:name="Signature" w:semiHidden="true" w:unhideWhenUsed="true"/>
    <w:lsdException w:name="Default Paragraph Font" w:locked="true" w:uiPriority="1"/>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locked="true" w:uiPriority="0"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locked="true" w:uiPriority="22" w:qFormat="true"/>
    <w:lsdException w:name="Emphasis" w:locked="true" w:uiPriority="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locked="true"/>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200" w:line="276" w:lineRule="auto"/>
    </w:pPr>
  </w:style>
  <w:style w:type="paragraph" w:styleId="Heading1">
    <w:name w:val="heading 1"/>
    <w:basedOn w:val="Normal"/>
    <w:next w:val="Normal"/>
    <w:link w:val="Heading1Char"/>
    <w:uiPriority w:val="99"/>
    <w:qFormat/>
    <w:pPr>
      <w:keepNext/>
      <w:keepLines/>
      <w:spacing w:before="480" w:after="0"/>
      <w:outlineLvl w:val="0"/>
    </w:pPr>
    <w:rPr>
      <w:rFonts w:ascii="Cambria" w:hAnsi="Cambria" w:eastAsia="Times New Roman"/>
      <w:b/>
      <w:bCs/>
      <w:color w:val="365F91"/>
      <w:sz w:val="28"/>
      <w:szCs w:val="28"/>
    </w:rPr>
  </w:style>
  <w:style w:type="paragraph" w:styleId="Heading2">
    <w:name w:val="heading 2"/>
    <w:basedOn w:val="Normal"/>
    <w:next w:val="Normal"/>
    <w:link w:val="Heading2Char"/>
    <w:uiPriority w:val="99"/>
    <w:qFormat/>
    <w:lock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locked/>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character" w:styleId="Heading1Char" w:customStyle="true">
    <w:name w:val="Heading 1 Char"/>
    <w:basedOn w:val="DefaultParagraphFont"/>
    <w:link w:val="Heading1"/>
    <w:uiPriority w:val="99"/>
    <w:locked/>
    <w:rPr>
      <w:rFonts w:ascii="Cambria" w:hAnsi="Cambria" w:cs="Times New Roman"/>
      <w:b/>
      <w:bCs/>
      <w:color w:val="365F91"/>
      <w:sz w:val="28"/>
      <w:szCs w:val="28"/>
    </w:rPr>
  </w:style>
  <w:style w:type="character" w:styleId="Heading2Char" w:customStyle="true">
    <w:name w:val="Heading 2 Char"/>
    <w:basedOn w:val="DefaultParagraphFont"/>
    <w:link w:val="Heading2"/>
    <w:uiPriority w:val="99"/>
    <w:semiHidden/>
    <w:locked/>
    <w:rPr>
      <w:rFonts w:ascii="Cambria" w:hAnsi="Cambria" w:cs="Times New Roman"/>
      <w:b/>
      <w:bCs/>
      <w:i/>
      <w:iCs/>
      <w:sz w:val="28"/>
      <w:szCs w:val="28"/>
    </w:rPr>
  </w:style>
  <w:style w:type="paragraph" w:styleId="TOC1">
    <w:name w:val="toc 1"/>
    <w:basedOn w:val="Normal"/>
    <w:next w:val="Normal"/>
    <w:autoRedefine/>
    <w:uiPriority w:val="99"/>
    <w:pPr>
      <w:spacing w:after="100"/>
    </w:pPr>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locked/>
    <w:pPr>
      <w:spacing w:after="200" w:line="276" w:lineRule="auto"/>
    </w:pPr>
    <w:rPr>
      <w:rFonts w:eastAsia="Times New Roman"/>
      <w:sz w:val="20"/>
      <w:szCs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99"/>
    <w:qFormat/>
    <w:locked/>
    <w:pPr>
      <w:spacing w:after="0" w:line="240" w:lineRule="auto"/>
    </w:pPr>
    <w:rPr>
      <w:rFonts w:ascii="Times New Roman" w:hAnsi="Times New Roman"/>
      <w:b/>
      <w:bCs/>
      <w:sz w:val="20"/>
      <w:szCs w:val="20"/>
    </w:rPr>
  </w:style>
  <w:style w:type="paragraph" w:styleId="Header">
    <w:name w:val="header"/>
    <w:basedOn w:val="Normal"/>
    <w:link w:val="HeaderChar"/>
    <w:uiPriority w:val="99"/>
    <w:pPr>
      <w:tabs>
        <w:tab w:val="center" w:pos="4320"/>
        <w:tab w:val="right" w:pos="8640"/>
      </w:tabs>
    </w:pPr>
  </w:style>
  <w:style w:type="character" w:styleId="HeaderChar" w:customStyle="true">
    <w:name w:val="Header Char"/>
    <w:basedOn w:val="DefaultParagraphFont"/>
    <w:link w:val="Header"/>
    <w:uiPriority w:val="99"/>
    <w:semiHidden/>
    <w:locked/>
    <w:rPr>
      <w:rFonts w:cs="Times New Roman"/>
    </w:rPr>
  </w:style>
  <w:style w:type="paragraph" w:styleId="Footer">
    <w:name w:val="footer"/>
    <w:basedOn w:val="Normal"/>
    <w:link w:val="FooterChar"/>
    <w:uiPriority w:val="99"/>
    <w:pPr>
      <w:tabs>
        <w:tab w:val="center" w:pos="4320"/>
        <w:tab w:val="right" w:pos="8640"/>
      </w:tabs>
    </w:pPr>
  </w:style>
  <w:style w:type="character" w:styleId="FooterChar" w:customStyle="true">
    <w:name w:val="Footer Char"/>
    <w:basedOn w:val="DefaultParagraphFont"/>
    <w:link w:val="Footer"/>
    <w:uiPriority w:val="99"/>
    <w:semiHidden/>
    <w:locked/>
    <w:rPr>
      <w:rFonts w:cs="Times New Roman"/>
    </w:rPr>
  </w:style>
  <w:style w:type="character" w:styleId="PageNumber">
    <w:name w:val="page number"/>
    <w:basedOn w:val="DefaultParagraphFont"/>
    <w:uiPriority w:val="99"/>
    <w:rPr>
      <w:rFonts w:cs="Times New Roman"/>
    </w:rPr>
  </w:style>
  <w:style w:type="paragraph" w:styleId="TOC2">
    <w:name w:val="toc 2"/>
    <w:basedOn w:val="Normal"/>
    <w:next w:val="Normal"/>
    <w:autoRedefine/>
    <w:uiPriority w:val="99"/>
    <w:semiHidden/>
    <w:locked/>
    <w:pPr>
      <w:ind w:left="220"/>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styleId="DocumentMapChar" w:customStyle="true">
    <w:name w:val="Document Map Char"/>
    <w:basedOn w:val="DefaultParagraphFont"/>
    <w:link w:val="DocumentMap"/>
    <w:uiPriority w:val="99"/>
    <w:semiHidden/>
    <w:rPr>
      <w:rFonts w:ascii="Tahoma" w:hAnsi="Tahoma" w:cs="Tahoma"/>
      <w:sz w:val="16"/>
      <w:szCs w:val="16"/>
    </w:rPr>
  </w:style>
  <w:style w:type="paragraph" w:styleId="Revision">
    <w:name w:val="Revision"/>
    <w:hidden/>
    <w:uiPriority w:val="99"/>
    <w:semiHidden/>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true">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locked/>
    <w:rPr>
      <w:b/>
      <w:bCs/>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true">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true">
    <w:name w:val="Comment Subject Char"/>
    <w:basedOn w:val="CommentTextChar"/>
    <w:link w:val="CommentSubject"/>
    <w:uiPriority w:val="99"/>
    <w:semiHidden/>
    <w:rPr>
      <w:b/>
      <w:bCs/>
      <w:sz w:val="20"/>
      <w:szCs w:val="20"/>
    </w:rPr>
  </w:style>
  <w:style w:type="character" w:styleId="Heading3Char" w:customStyle="true">
    <w:name w:val="Heading 3 Char"/>
    <w:basedOn w:val="DefaultParagraphFont"/>
    <w:link w:val="Heading3"/>
    <w:rPr>
      <w:rFonts w:asciiTheme="majorHAnsi" w:hAnsiTheme="majorHAnsi" w:eastAsiaTheme="majorEastAsia" w:cstheme="majorBidi"/>
      <w:color w:val="243F60" w:themeColor="accent1" w:themeShade="7F"/>
      <w:sz w:val="24"/>
      <w:szCs w:val="24"/>
    </w:rPr>
  </w:style>
</w:styles>
</file>

<file path=word/webSettings.xml><?xml version="1.0" encoding="utf-8"?>
<w:webSetting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optimizeForBrowser/>
</w:webSettings>
</file>

<file path=word/_rels/document.xml.rels><?xml version="1.0" encoding="UTF-8" standalone="yes"?><Relationships xmlns="http://schemas.openxmlformats.org/package/2006/relationships"><Relationship Target="header1.xml" Type="http://schemas.openxmlformats.org/officeDocument/2006/relationships/header" Id="rId8"></Relationship><Relationship Target="footer3.xml" Type="http://schemas.openxmlformats.org/officeDocument/2006/relationships/footer" Id="rId13"></Relationship><Relationship Target="header6.xml" Type="http://schemas.openxmlformats.org/officeDocument/2006/relationships/header" Id="rId18"></Relationship><Relationship Target="styles.xml" Type="http://schemas.openxmlformats.org/officeDocument/2006/relationships/styles" Id="rId3"></Relationship><Relationship Target="theme/theme1.xml" Type="http://schemas.openxmlformats.org/officeDocument/2006/relationships/theme" Id="rId21"></Relationship><Relationship Target="endnotes.xml" Type="http://schemas.openxmlformats.org/officeDocument/2006/relationships/endnotes" Id="rId7"></Relationship><Relationship Target="header3.xml" Type="http://schemas.openxmlformats.org/officeDocument/2006/relationships/header" Id="rId12"></Relationship><Relationship Target="footer5.xml" Type="http://schemas.openxmlformats.org/officeDocument/2006/relationships/footer" Id="rId17"></Relationship><Relationship Target="numbering.xml" Type="http://schemas.openxmlformats.org/officeDocument/2006/relationships/numbering" Id="rId2"></Relationship><Relationship Target="header5.xml" Type="http://schemas.openxmlformats.org/officeDocument/2006/relationships/header" Id="rId16"></Relationship><Relationship Target="fontTable.xml" Type="http://schemas.openxmlformats.org/officeDocument/2006/relationships/fontTable" Id="rId20"></Relationship><Relationship Target="../customXml/item1.xml" Type="http://schemas.openxmlformats.org/officeDocument/2006/relationships/customXml" Id="rId1"></Relationship><Relationship Target="footnotes.xml" Type="http://schemas.openxmlformats.org/officeDocument/2006/relationships/footnotes" Id="rId6"></Relationship><Relationship Target="footer2.xml" Type="http://schemas.openxmlformats.org/officeDocument/2006/relationships/footer" Id="rId11"></Relationship><Relationship Target="webSettings.xml" Type="http://schemas.openxmlformats.org/officeDocument/2006/relationships/webSettings" Id="rId5"></Relationship><Relationship Target="header4.xml" Type="http://schemas.openxmlformats.org/officeDocument/2006/relationships/header" Id="rId15"></Relationship><Relationship Target="footer1.xml" Type="http://schemas.openxmlformats.org/officeDocument/2006/relationships/footer" Id="rId10"></Relationship><Relationship Target="footer6.xml" Type="http://schemas.openxmlformats.org/officeDocument/2006/relationships/footer" Id="rId19"></Relationship><Relationship Target="settings.xml" Type="http://schemas.openxmlformats.org/officeDocument/2006/relationships/settings" Id="rId4"></Relationship><Relationship Target="header2.xml" Type="http://schemas.openxmlformats.org/officeDocument/2006/relationships/header" Id="rId9"></Relationship><Relationship Target="footer4.xml" Type="http://schemas.openxmlformats.org/officeDocument/2006/relationships/footer" Id="rId14"></Relationship><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s>
</file>

<file path=word/theme/theme1.xml><?xml version="1.0" encoding="utf-8"?>
<a:theme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Relationships>
</file>

<file path=customXml/item1.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5C90540D-6B79-46C2-9AD6-D6CEBA7DA978}">
  <ds:schemaRefs>
    <ds:schemaRef ds:uri="http://schemas.openxmlformats.org/officeDocument/2006/bibliography"/>
  </ds:schemaRefs>
</ds:datastoreItem>
</file>

<file path=docProps/app.xml><?xml version="1.0" encoding="utf-8"?>
<properties:Properties xmlns:vt="http://schemas.openxmlformats.org/officeDocument/2006/docPropsVTypes" xmlns:properties="http://schemas.openxmlformats.org/officeDocument/2006/extended-properties">
  <properties:Template>Normal.dotm</properties:Template>
  <properties:Company>Microsoft</properties:Company>
  <properties:Pages>36</properties:Pages>
  <properties:Words>6906</properties:Words>
  <properties:Characters>39365</properties:Characters>
  <properties:Lines>328</properties:Lines>
  <properties:Paragraphs>92</properties:Paragraphs>
  <properties:TotalTime>132</properties:TotalTime>
  <properties:ScaleCrop>false</properties:ScaleCrop>
  <properties:HeadingPairs>
    <vt:vector baseType="variant" size="2">
      <vt:variant>
        <vt:lpstr>Title</vt:lpstr>
      </vt:variant>
      <vt:variant>
        <vt:i4>1</vt:i4>
      </vt:variant>
    </vt:vector>
  </properties:HeadingPairs>
  <properties:TitlesOfParts>
    <vt:vector baseType="lpstr" size="1">
      <vt:lpstr>AP</vt:lpstr>
    </vt:vector>
  </properties:TitlesOfParts>
  <properties:LinksUpToDate>false</properties:LinksUpToDate>
  <properties:CharactersWithSpaces>46179</properties:CharactersWithSpaces>
  <properties:SharedDoc>false</properties:SharedDoc>
  <properties:HyperlinksChanged>false</properties:HyperlinksChanged>
  <properties:Application>docx4j</properties:Application>
  <properties:AppVersion>2.7.1</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2012-09-17T18:37:00Z</dcterms:created>
  <dc:creator>Rocio</dc:creator>
  <dc:description/>
  <cp:keywords/>
  <cp:lastModifiedBy>docx4j</cp:lastModifiedBy>
  <dcterms:modified xmlns:xsi="http://www.w3.org/2001/XMLSchema-instance" xsi:type="dcterms:W3CDTF">2023-05-19T13:10:00Z</dcterms:modified>
  <cp:revision>70</cp:revision>
  <dc:subject/>
  <dc:title>AP</dc:title>
</cp:coreProperties>
</file>